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6B8BE385">
                <wp:simplePos x="0" y="0"/>
                <wp:positionH relativeFrom="column">
                  <wp:posOffset>4466</wp:posOffset>
                </wp:positionH>
                <wp:positionV relativeFrom="paragraph">
                  <wp:posOffset>70014</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E17BE8" w:rsidRDefault="00A30A26" w:rsidP="00BC36C7">
                            <w:pPr>
                              <w:autoSpaceDE w:val="0"/>
                              <w:autoSpaceDN w:val="0"/>
                              <w:adjustRightInd w:val="0"/>
                              <w:jc w:val="center"/>
                              <w:rPr>
                                <w:rFonts w:ascii="Verdana" w:eastAsia="Calibri" w:hAnsi="Verdana" w:cs="MS Reference Sans Serif"/>
                                <w:b/>
                                <w:color w:val="4F81BD" w:themeColor="accent1"/>
                              </w:rPr>
                            </w:pPr>
                            <w:r w:rsidRPr="00E17BE8">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35pt;margin-top:5.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" fillcolor="#dce6f2" stroked="f" strokeweight=".5pt">
                <v:textbox>
                  <w:txbxContent>
                    <w:p w14:paraId="5C2B9C5A" w14:textId="77777777" w:rsidR="00BC36C7" w:rsidRPr="00E17BE8" w:rsidRDefault="00A30A26" w:rsidP="00BC36C7">
                      <w:pPr>
                        <w:autoSpaceDE w:val="0"/>
                        <w:autoSpaceDN w:val="0"/>
                        <w:adjustRightInd w:val="0"/>
                        <w:jc w:val="center"/>
                        <w:rPr>
                          <w:rFonts w:ascii="Verdana" w:eastAsia="Calibri" w:hAnsi="Verdana" w:cs="MS Reference Sans Serif"/>
                          <w:b/>
                          <w:color w:val="4F81BD" w:themeColor="accent1"/>
                        </w:rPr>
                      </w:pPr>
                      <w:r w:rsidRPr="00E17BE8">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38C1CFBE" w14:textId="77777777" w:rsidR="00B95B64" w:rsidRDefault="00B95B64" w:rsidP="00BC36C7">
      <w:pPr>
        <w:rPr>
          <w:rFonts w:ascii="Verdana" w:hAnsi="Verdana"/>
        </w:rPr>
      </w:pPr>
    </w:p>
    <w:p w14:paraId="5141FEB3" w14:textId="77777777" w:rsidR="00B95B64" w:rsidRPr="00B95B64" w:rsidRDefault="00B95B64" w:rsidP="00BC36C7">
      <w:pPr>
        <w:rPr>
          <w:rFonts w:ascii="Verdana" w:hAnsi="Verdana"/>
          <w:b/>
        </w:rPr>
      </w:pPr>
      <w:r w:rsidRPr="00B95B64">
        <w:rPr>
          <w:rFonts w:ascii="Verdana" w:hAnsi="Verdana"/>
          <w:b/>
        </w:rPr>
        <w:t>Ligature Management</w:t>
      </w:r>
    </w:p>
    <w:p w14:paraId="62F1C644" w14:textId="77777777" w:rsidR="00B95B64" w:rsidRPr="00B95B64" w:rsidRDefault="00B95B64" w:rsidP="00BC36C7">
      <w:pPr>
        <w:rPr>
          <w:rFonts w:ascii="Verdana" w:hAnsi="Verdana"/>
          <w:b/>
        </w:rPr>
      </w:pPr>
    </w:p>
    <w:p w14:paraId="54A02ABB" w14:textId="364E3C18" w:rsidR="00BC36C7" w:rsidRPr="00B95B64" w:rsidRDefault="00B95B64" w:rsidP="00BC36C7">
      <w:pPr>
        <w:rPr>
          <w:rFonts w:ascii="Verdana" w:hAnsi="Verdana"/>
          <w:i/>
        </w:rPr>
      </w:pPr>
      <w:r w:rsidRPr="00B95B64">
        <w:rPr>
          <w:rFonts w:ascii="Verdana" w:hAnsi="Verdana"/>
          <w:i/>
        </w:rPr>
        <w:t>Please also refer to the Prac</w:t>
      </w:r>
      <w:r>
        <w:rPr>
          <w:rFonts w:ascii="Verdana" w:hAnsi="Verdana"/>
          <w:i/>
        </w:rPr>
        <w:t>tice G</w:t>
      </w:r>
      <w:r w:rsidRPr="00B95B64">
        <w:rPr>
          <w:rFonts w:ascii="Verdana" w:hAnsi="Verdana"/>
          <w:i/>
        </w:rPr>
        <w:t xml:space="preserve">uidance on Self-Harm and Suicidal Behaviour </w:t>
      </w:r>
    </w:p>
    <w:p w14:paraId="783352E8" w14:textId="77777777" w:rsidR="00B95B64" w:rsidRPr="00B95B64" w:rsidRDefault="00B95B64" w:rsidP="00BC36C7">
      <w:pPr>
        <w:rPr>
          <w:rFonts w:ascii="Verdana" w:hAnsi="Verdana"/>
          <w:b/>
        </w:rPr>
      </w:pPr>
    </w:p>
    <w:p w14:paraId="18F99578" w14:textId="7E4B8A81" w:rsidR="00B95B64" w:rsidRPr="00B95B64" w:rsidRDefault="00B95B64" w:rsidP="00B95B64">
      <w:pPr>
        <w:jc w:val="both"/>
        <w:rPr>
          <w:rFonts w:ascii="Verdana" w:hAnsi="Verdana" w:cs="Arial"/>
          <w:b/>
        </w:rPr>
      </w:pPr>
      <w:r w:rsidRPr="00B95B64">
        <w:rPr>
          <w:rFonts w:ascii="Verdana" w:hAnsi="Verdana" w:cs="Arial"/>
          <w:b/>
        </w:rPr>
        <w:t xml:space="preserve">Definitions </w:t>
      </w:r>
    </w:p>
    <w:p w14:paraId="26F6DF3C" w14:textId="77777777" w:rsidR="00B95B64" w:rsidRPr="00B95B64" w:rsidRDefault="00B95B64" w:rsidP="00B95B64">
      <w:pPr>
        <w:jc w:val="both"/>
        <w:rPr>
          <w:rFonts w:ascii="Verdana" w:hAnsi="Verdana" w:cs="Arial"/>
        </w:rPr>
      </w:pPr>
    </w:p>
    <w:p w14:paraId="67DECDBF" w14:textId="77777777" w:rsidR="00B95B64" w:rsidRPr="00B95B64" w:rsidRDefault="00B95B64" w:rsidP="00B95B64">
      <w:pPr>
        <w:jc w:val="both"/>
        <w:rPr>
          <w:rFonts w:ascii="Verdana" w:hAnsi="Verdana" w:cs="Arial"/>
        </w:rPr>
      </w:pPr>
      <w:r w:rsidRPr="00B95B64">
        <w:rPr>
          <w:rFonts w:ascii="Verdana" w:hAnsi="Verdana" w:cs="Arial"/>
        </w:rPr>
        <w:t xml:space="preserve">For the purpose of this document, definitions of key terms are as follows: </w:t>
      </w:r>
    </w:p>
    <w:p w14:paraId="69880721" w14:textId="77777777" w:rsidR="00B95B64" w:rsidRPr="00B95B64" w:rsidRDefault="00B95B64" w:rsidP="00B95B64">
      <w:pPr>
        <w:jc w:val="both"/>
        <w:rPr>
          <w:rFonts w:ascii="Verdana" w:hAnsi="Verdana" w:cs="Arial"/>
        </w:rPr>
      </w:pPr>
    </w:p>
    <w:p w14:paraId="228668AA" w14:textId="77777777" w:rsidR="00B95B64" w:rsidRPr="00B95B64" w:rsidRDefault="00B95B64" w:rsidP="00B95B64">
      <w:pPr>
        <w:pStyle w:val="ListParagraph"/>
        <w:numPr>
          <w:ilvl w:val="0"/>
          <w:numId w:val="10"/>
        </w:numPr>
        <w:jc w:val="both"/>
        <w:rPr>
          <w:rFonts w:ascii="Verdana" w:eastAsia="Times New Roman" w:hAnsi="Verdana" w:cs="Arial"/>
        </w:rPr>
      </w:pPr>
      <w:r w:rsidRPr="00B95B64">
        <w:rPr>
          <w:rFonts w:ascii="Verdana" w:hAnsi="Verdana" w:cs="Arial"/>
          <w:b/>
        </w:rPr>
        <w:t>Ligature</w:t>
      </w:r>
      <w:r w:rsidRPr="00B95B64">
        <w:rPr>
          <w:rFonts w:ascii="Verdana" w:hAnsi="Verdana" w:cs="Arial"/>
        </w:rPr>
        <w:t xml:space="preserve"> - </w:t>
      </w:r>
      <w:r w:rsidRPr="00B95B64">
        <w:rPr>
          <w:rFonts w:ascii="Verdana" w:eastAsia="Times New Roman" w:hAnsi="Verdana" w:cs="Arial"/>
          <w:bCs/>
        </w:rPr>
        <w:t xml:space="preserve">Something which binds or ties, specifically something which could potentially be used for self-strangulation or severe restriction of blood flow to a body part (wrist, ankle).  Examples include chains, bed linen, clothing (including belts, laces, bras, ties, tights, stitching) pull cords, cables or wires, audio and video tapes, toilet rolls, paper towel rolls etc.  </w:t>
      </w:r>
      <w:r w:rsidRPr="00B95B64">
        <w:rPr>
          <w:rFonts w:ascii="Verdana" w:eastAsia="Times New Roman" w:hAnsi="Verdana" w:cs="Arial"/>
        </w:rPr>
        <w:t>This is an item or a series of items that can be used to cause compression of airways, resulting in asphyxiation and death</w:t>
      </w:r>
    </w:p>
    <w:p w14:paraId="1969F5E9" w14:textId="77777777" w:rsidR="00B95B64" w:rsidRPr="00B95B64" w:rsidRDefault="00B95B64" w:rsidP="00B95B64">
      <w:pPr>
        <w:jc w:val="both"/>
        <w:rPr>
          <w:rFonts w:ascii="Verdana" w:eastAsia="Times New Roman" w:hAnsi="Verdana" w:cs="Arial"/>
          <w:bCs/>
        </w:rPr>
      </w:pPr>
    </w:p>
    <w:p w14:paraId="110BAF4F" w14:textId="77777777" w:rsidR="00B95B64" w:rsidRPr="00B95B64" w:rsidRDefault="00B95B64" w:rsidP="00B95B64">
      <w:pPr>
        <w:pStyle w:val="ListParagraph"/>
        <w:numPr>
          <w:ilvl w:val="0"/>
          <w:numId w:val="10"/>
        </w:numPr>
        <w:jc w:val="both"/>
        <w:rPr>
          <w:rFonts w:ascii="Verdana" w:eastAsia="Times New Roman" w:hAnsi="Verdana" w:cs="Arial"/>
          <w:bCs/>
        </w:rPr>
      </w:pPr>
      <w:r w:rsidRPr="00B95B64">
        <w:rPr>
          <w:rFonts w:ascii="Verdana" w:eastAsia="Times New Roman" w:hAnsi="Verdana" w:cs="Arial"/>
          <w:b/>
          <w:bCs/>
        </w:rPr>
        <w:t>Ligature point</w:t>
      </w:r>
      <w:r w:rsidRPr="00B95B64">
        <w:rPr>
          <w:rFonts w:ascii="Verdana" w:eastAsia="Times New Roman" w:hAnsi="Verdana" w:cs="Arial"/>
          <w:bCs/>
        </w:rPr>
        <w:t xml:space="preserve"> - Anything that could be used to attach a cord, rope or other material for the purpose of strangulation.</w:t>
      </w:r>
    </w:p>
    <w:p w14:paraId="08511E01" w14:textId="77777777" w:rsidR="00B95B64" w:rsidRPr="00B95B64" w:rsidRDefault="00B95B64" w:rsidP="00B95B64">
      <w:pPr>
        <w:jc w:val="both"/>
        <w:rPr>
          <w:rFonts w:ascii="Verdana" w:eastAsia="Times New Roman" w:hAnsi="Verdana" w:cs="Arial"/>
          <w:bCs/>
        </w:rPr>
      </w:pPr>
    </w:p>
    <w:p w14:paraId="2AF8B799" w14:textId="77777777" w:rsidR="00B95B64" w:rsidRPr="00B95B64" w:rsidRDefault="00B95B64" w:rsidP="00B95B64">
      <w:pPr>
        <w:pStyle w:val="ListParagraph"/>
        <w:numPr>
          <w:ilvl w:val="0"/>
          <w:numId w:val="10"/>
        </w:numPr>
        <w:jc w:val="both"/>
        <w:rPr>
          <w:rFonts w:ascii="Verdana" w:eastAsia="Times New Roman" w:hAnsi="Verdana" w:cs="Arial"/>
          <w:bCs/>
        </w:rPr>
      </w:pPr>
      <w:r w:rsidRPr="00B95B64">
        <w:rPr>
          <w:rFonts w:ascii="Verdana" w:eastAsia="Times New Roman" w:hAnsi="Verdana" w:cs="Arial"/>
          <w:b/>
          <w:bCs/>
        </w:rPr>
        <w:t>Ligature cutter</w:t>
      </w:r>
      <w:r w:rsidRPr="00B95B64">
        <w:rPr>
          <w:rFonts w:ascii="Verdana" w:eastAsia="Times New Roman" w:hAnsi="Verdana" w:cs="Arial"/>
          <w:bCs/>
        </w:rPr>
        <w:t xml:space="preserve"> - Tool used to release a ligature safely </w:t>
      </w:r>
    </w:p>
    <w:p w14:paraId="08E5792F" w14:textId="77777777" w:rsidR="00B95B64" w:rsidRPr="00B95B64" w:rsidRDefault="00B95B64" w:rsidP="00B95B64">
      <w:pPr>
        <w:jc w:val="both"/>
        <w:rPr>
          <w:rFonts w:ascii="Verdana" w:eastAsia="Times New Roman" w:hAnsi="Verdana" w:cs="Arial"/>
          <w:b/>
          <w:bCs/>
        </w:rPr>
      </w:pPr>
    </w:p>
    <w:p w14:paraId="4E5587DC" w14:textId="77777777" w:rsidR="00B95B64" w:rsidRPr="00B95B64" w:rsidRDefault="00B95B64" w:rsidP="00B95B64">
      <w:pPr>
        <w:jc w:val="both"/>
        <w:rPr>
          <w:rFonts w:ascii="Verdana" w:eastAsia="Times New Roman" w:hAnsi="Verdana" w:cs="Arial"/>
          <w:b/>
          <w:bCs/>
        </w:rPr>
      </w:pPr>
      <w:r w:rsidRPr="00B95B64">
        <w:rPr>
          <w:rFonts w:ascii="Verdana" w:eastAsia="Times New Roman" w:hAnsi="Verdana" w:cs="Arial"/>
          <w:b/>
          <w:bCs/>
        </w:rPr>
        <w:t xml:space="preserve">Risk assessment in WSCC children’s homes  </w:t>
      </w:r>
    </w:p>
    <w:p w14:paraId="22A83B01" w14:textId="77777777" w:rsidR="00B95B64" w:rsidRPr="00B95B64" w:rsidRDefault="00B95B64" w:rsidP="00B95B64">
      <w:pPr>
        <w:jc w:val="both"/>
        <w:rPr>
          <w:rFonts w:ascii="Verdana" w:eastAsia="Times New Roman" w:hAnsi="Verdana" w:cs="Arial"/>
          <w:bCs/>
        </w:rPr>
      </w:pPr>
    </w:p>
    <w:p w14:paraId="3E1CEE41" w14:textId="77777777" w:rsidR="00B95B64" w:rsidRPr="00B95B64" w:rsidRDefault="00B95B64" w:rsidP="00B95B64">
      <w:pPr>
        <w:pStyle w:val="ListParagraph"/>
        <w:numPr>
          <w:ilvl w:val="0"/>
          <w:numId w:val="11"/>
        </w:numPr>
        <w:jc w:val="both"/>
        <w:rPr>
          <w:rFonts w:ascii="Verdana" w:eastAsia="Times New Roman" w:hAnsi="Verdana" w:cs="Arial"/>
          <w:bCs/>
        </w:rPr>
      </w:pPr>
      <w:r w:rsidRPr="00B95B64">
        <w:rPr>
          <w:rFonts w:ascii="Verdana" w:eastAsia="Times New Roman" w:hAnsi="Verdana" w:cs="Arial"/>
          <w:bCs/>
        </w:rPr>
        <w:t xml:space="preserve">The act of self-strangulation using a ligature among children is significantly higher for children living in care, particularly if there is a history of mental health difficulties, low self-esteem and trauma in early childhood.  </w:t>
      </w:r>
    </w:p>
    <w:p w14:paraId="7F328C6C" w14:textId="77777777" w:rsidR="00B95B64" w:rsidRPr="00B95B64" w:rsidRDefault="00B95B64" w:rsidP="00B95B64">
      <w:pPr>
        <w:pStyle w:val="ListParagraph"/>
        <w:jc w:val="both"/>
        <w:rPr>
          <w:rFonts w:ascii="Verdana" w:eastAsia="Times New Roman" w:hAnsi="Verdana" w:cs="Arial"/>
          <w:bCs/>
        </w:rPr>
      </w:pPr>
    </w:p>
    <w:p w14:paraId="7B40CEAB" w14:textId="7CFF4D19" w:rsidR="00B95B64" w:rsidRPr="00B95B64" w:rsidRDefault="00FC6811" w:rsidP="00B95B64">
      <w:pPr>
        <w:pStyle w:val="ListParagraph"/>
        <w:numPr>
          <w:ilvl w:val="0"/>
          <w:numId w:val="11"/>
        </w:numPr>
        <w:jc w:val="both"/>
        <w:rPr>
          <w:rFonts w:ascii="Verdana" w:eastAsia="Times New Roman" w:hAnsi="Verdana" w:cs="Arial"/>
          <w:bCs/>
        </w:rPr>
      </w:pPr>
      <w:r>
        <w:rPr>
          <w:rFonts w:ascii="Verdana" w:eastAsia="Times New Roman" w:hAnsi="Verdana" w:cs="Arial"/>
          <w:bCs/>
        </w:rPr>
        <w:t>On completion of a training needs analysis by the Registered Manager, s</w:t>
      </w:r>
      <w:r w:rsidR="00B95B64" w:rsidRPr="00B95B64">
        <w:rPr>
          <w:rFonts w:ascii="Verdana" w:eastAsia="Times New Roman" w:hAnsi="Verdana" w:cs="Arial"/>
          <w:bCs/>
        </w:rPr>
        <w:t xml:space="preserve">taff </w:t>
      </w:r>
      <w:r>
        <w:rPr>
          <w:rFonts w:ascii="Verdana" w:eastAsia="Times New Roman" w:hAnsi="Verdana" w:cs="Arial"/>
          <w:bCs/>
        </w:rPr>
        <w:t>can access specialist training in identifying and attending to l</w:t>
      </w:r>
      <w:r w:rsidR="00B95B64" w:rsidRPr="00B95B64">
        <w:rPr>
          <w:rFonts w:ascii="Verdana" w:eastAsia="Times New Roman" w:hAnsi="Verdana" w:cs="Arial"/>
          <w:bCs/>
        </w:rPr>
        <w:t xml:space="preserve">igature risks in the home, and are vigilant to monitor and reduce risks on a daily basis. </w:t>
      </w:r>
    </w:p>
    <w:p w14:paraId="02FEA9BB" w14:textId="77777777" w:rsidR="00B95B64" w:rsidRPr="00B95B64" w:rsidRDefault="00B95B64" w:rsidP="00B95B64">
      <w:pPr>
        <w:pStyle w:val="ListParagraph"/>
        <w:rPr>
          <w:rFonts w:ascii="Verdana" w:eastAsia="Times New Roman" w:hAnsi="Verdana" w:cs="Arial"/>
          <w:bCs/>
        </w:rPr>
      </w:pPr>
    </w:p>
    <w:p w14:paraId="5B5AD058" w14:textId="004570A2" w:rsidR="00B95B64" w:rsidRPr="00B95B64" w:rsidRDefault="00B95B64" w:rsidP="00B95B64">
      <w:pPr>
        <w:pStyle w:val="ListParagraph"/>
        <w:numPr>
          <w:ilvl w:val="0"/>
          <w:numId w:val="11"/>
        </w:numPr>
        <w:jc w:val="both"/>
        <w:rPr>
          <w:rFonts w:ascii="Verdana" w:eastAsia="Times New Roman" w:hAnsi="Verdana" w:cs="Arial"/>
          <w:bCs/>
        </w:rPr>
      </w:pPr>
      <w:r w:rsidRPr="00B95B64">
        <w:rPr>
          <w:rFonts w:ascii="Verdana" w:eastAsia="Times New Roman" w:hAnsi="Verdana" w:cs="Arial"/>
          <w:bCs/>
        </w:rPr>
        <w:t xml:space="preserve">There are a number of ongoing measures that are taken to reduce or eliminate ligature risks as follows: </w:t>
      </w:r>
    </w:p>
    <w:p w14:paraId="45F7A19A" w14:textId="77777777" w:rsidR="00B95B64" w:rsidRPr="00B95B64" w:rsidRDefault="00B95B64" w:rsidP="00B95B64">
      <w:pPr>
        <w:ind w:left="360"/>
        <w:jc w:val="both"/>
        <w:rPr>
          <w:rFonts w:ascii="Verdana" w:eastAsia="Times New Roman" w:hAnsi="Verdana" w:cs="Arial"/>
          <w:b/>
          <w:bCs/>
        </w:rPr>
      </w:pPr>
    </w:p>
    <w:p w14:paraId="47FF5E6C" w14:textId="77777777"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Daily check of internal and external premises  </w:t>
      </w:r>
    </w:p>
    <w:p w14:paraId="2AD62808" w14:textId="3E644340"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Ligature Risk Assessment </w:t>
      </w:r>
      <w:r w:rsidR="00FC6811">
        <w:rPr>
          <w:rFonts w:ascii="Verdana" w:eastAsia="Times New Roman" w:hAnsi="Verdana" w:cs="Arial"/>
          <w:bCs/>
        </w:rPr>
        <w:t xml:space="preserve">prepared and reviewed regularly as needed </w:t>
      </w:r>
      <w:r w:rsidRPr="00B95B64">
        <w:rPr>
          <w:rFonts w:ascii="Verdana" w:eastAsia="Times New Roman" w:hAnsi="Verdana" w:cs="Arial"/>
          <w:bCs/>
        </w:rPr>
        <w:t xml:space="preserve"> </w:t>
      </w:r>
    </w:p>
    <w:p w14:paraId="74CA89BA" w14:textId="77777777"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Prompt removal and/or repair of any damage to property or equipment </w:t>
      </w:r>
    </w:p>
    <w:p w14:paraId="1912A812" w14:textId="39105803"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Searches of children when necessary (see </w:t>
      </w:r>
      <w:r>
        <w:rPr>
          <w:rFonts w:ascii="Verdana" w:eastAsia="Times New Roman" w:hAnsi="Verdana" w:cs="Arial"/>
          <w:bCs/>
        </w:rPr>
        <w:t>‘Searching Children and Bedrooms’</w:t>
      </w:r>
      <w:r w:rsidRPr="00B95B64">
        <w:rPr>
          <w:rFonts w:ascii="Verdana" w:eastAsia="Times New Roman" w:hAnsi="Verdana" w:cs="Arial"/>
          <w:bCs/>
        </w:rPr>
        <w:t xml:space="preserve">) </w:t>
      </w:r>
    </w:p>
    <w:p w14:paraId="7BC68BFC" w14:textId="2BC854B5"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Searches of building (see </w:t>
      </w:r>
      <w:r w:rsidRPr="00B95B64">
        <w:rPr>
          <w:rFonts w:ascii="Verdana" w:eastAsia="Times New Roman" w:hAnsi="Verdana" w:cs="Arial"/>
          <w:bCs/>
          <w:u w:val="single"/>
        </w:rPr>
        <w:t>‘Home Searches’</w:t>
      </w:r>
      <w:r w:rsidRPr="00B95B64">
        <w:rPr>
          <w:rFonts w:ascii="Verdana" w:eastAsia="Times New Roman" w:hAnsi="Verdana" w:cs="Arial"/>
          <w:bCs/>
        </w:rPr>
        <w:t>)</w:t>
      </w:r>
    </w:p>
    <w:p w14:paraId="7ADB566D" w14:textId="77777777"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Training of staff in ligature awareness</w:t>
      </w:r>
    </w:p>
    <w:p w14:paraId="5DF5137E" w14:textId="77777777"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Ongoing observation and engagement with children </w:t>
      </w:r>
    </w:p>
    <w:p w14:paraId="1DF9A96F" w14:textId="77777777"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Access to therapeutic activities for children </w:t>
      </w:r>
    </w:p>
    <w:p w14:paraId="0DE5C6F1" w14:textId="77777777"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 xml:space="preserve">High staffing levels </w:t>
      </w:r>
    </w:p>
    <w:p w14:paraId="029F931F" w14:textId="752C672C" w:rsidR="00B95B64" w:rsidRPr="00B95B64" w:rsidRDefault="00B95B64" w:rsidP="00B95B64">
      <w:pPr>
        <w:pStyle w:val="ListParagraph"/>
        <w:numPr>
          <w:ilvl w:val="0"/>
          <w:numId w:val="12"/>
        </w:numPr>
        <w:jc w:val="both"/>
        <w:rPr>
          <w:rFonts w:ascii="Verdana" w:eastAsia="Times New Roman" w:hAnsi="Verdana" w:cs="Arial"/>
          <w:bCs/>
        </w:rPr>
      </w:pPr>
      <w:r w:rsidRPr="00B95B64">
        <w:rPr>
          <w:rFonts w:ascii="Verdana" w:eastAsia="Times New Roman" w:hAnsi="Verdana" w:cs="Arial"/>
          <w:bCs/>
        </w:rPr>
        <w:t>Individual risk assessments for all children</w:t>
      </w:r>
    </w:p>
    <w:p w14:paraId="4544DEA3" w14:textId="77777777" w:rsidR="00B95B64" w:rsidRPr="00B95B64" w:rsidRDefault="00B95B64" w:rsidP="00B95B64">
      <w:pPr>
        <w:jc w:val="both"/>
        <w:rPr>
          <w:rFonts w:ascii="Verdana" w:eastAsia="Times New Roman" w:hAnsi="Verdana" w:cs="Arial"/>
          <w:b/>
          <w:bCs/>
        </w:rPr>
      </w:pPr>
    </w:p>
    <w:p w14:paraId="34765178" w14:textId="77777777" w:rsidR="00B95B64" w:rsidRPr="00B95B64" w:rsidRDefault="00B95B64" w:rsidP="00B95B64">
      <w:pPr>
        <w:pStyle w:val="ListParagraph"/>
        <w:numPr>
          <w:ilvl w:val="0"/>
          <w:numId w:val="13"/>
        </w:numPr>
        <w:jc w:val="both"/>
        <w:rPr>
          <w:rFonts w:ascii="Verdana" w:eastAsia="Times New Roman" w:hAnsi="Verdana" w:cs="Arial"/>
        </w:rPr>
      </w:pPr>
      <w:r w:rsidRPr="00B95B64">
        <w:rPr>
          <w:rFonts w:ascii="Verdana" w:eastAsia="Times New Roman" w:hAnsi="Verdana" w:cs="Arial"/>
        </w:rPr>
        <w:lastRenderedPageBreak/>
        <w:t xml:space="preserve">Any risk assessment is only truly valid for a point in time or for as long as the risk factors remain the same.  All staff members remain alert to identifying new risks and will report these to the senior member of staff on duty immediately. </w:t>
      </w:r>
    </w:p>
    <w:p w14:paraId="00E1022D" w14:textId="77777777" w:rsidR="00B95B64" w:rsidRPr="00B95B64" w:rsidRDefault="00B95B64" w:rsidP="00B95B64">
      <w:pPr>
        <w:pStyle w:val="ListParagraph"/>
        <w:jc w:val="both"/>
        <w:rPr>
          <w:rFonts w:ascii="Verdana" w:eastAsia="Times New Roman" w:hAnsi="Verdana" w:cs="Arial"/>
        </w:rPr>
      </w:pPr>
    </w:p>
    <w:p w14:paraId="24B4D0ED" w14:textId="3A2036BF" w:rsidR="00B95B64" w:rsidRPr="00B95B64" w:rsidRDefault="00B95B64" w:rsidP="00B95B64">
      <w:pPr>
        <w:pStyle w:val="ListParagraph"/>
        <w:numPr>
          <w:ilvl w:val="0"/>
          <w:numId w:val="13"/>
        </w:numPr>
        <w:jc w:val="both"/>
        <w:rPr>
          <w:rFonts w:ascii="Verdana" w:eastAsia="Times New Roman" w:hAnsi="Verdana" w:cs="Arial"/>
        </w:rPr>
      </w:pPr>
      <w:r w:rsidRPr="00B95B64">
        <w:rPr>
          <w:rFonts w:ascii="Verdana" w:hAnsi="Verdana" w:cs="Arial"/>
          <w:color w:val="000000"/>
        </w:rPr>
        <w:t xml:space="preserve">The risk of self-strangulation using a ligature is increased in areas where children are not supervised (i.e. bedrooms, bathrooms), so staff remain alert to any child who is presenting with behaviours associated to potential self-harm and will act accordingly.  </w:t>
      </w:r>
    </w:p>
    <w:p w14:paraId="47BFCDF1" w14:textId="77777777" w:rsidR="00B95B64" w:rsidRPr="00B95B64" w:rsidRDefault="00B95B64" w:rsidP="00B95B64">
      <w:pPr>
        <w:autoSpaceDE w:val="0"/>
        <w:autoSpaceDN w:val="0"/>
        <w:adjustRightInd w:val="0"/>
        <w:jc w:val="both"/>
        <w:rPr>
          <w:rFonts w:ascii="Verdana" w:hAnsi="Verdana" w:cs="Arial"/>
          <w:b/>
          <w:bCs/>
          <w:color w:val="000000"/>
        </w:rPr>
      </w:pPr>
    </w:p>
    <w:p w14:paraId="191C6761" w14:textId="77777777" w:rsidR="00B95B64" w:rsidRPr="00B95B64" w:rsidRDefault="00B95B64" w:rsidP="00B95B64">
      <w:pPr>
        <w:autoSpaceDE w:val="0"/>
        <w:autoSpaceDN w:val="0"/>
        <w:adjustRightInd w:val="0"/>
        <w:jc w:val="both"/>
        <w:rPr>
          <w:rFonts w:ascii="Verdana" w:hAnsi="Verdana" w:cs="Arial"/>
          <w:b/>
          <w:color w:val="000000"/>
        </w:rPr>
      </w:pPr>
      <w:r w:rsidRPr="00B95B64">
        <w:rPr>
          <w:rFonts w:ascii="Verdana" w:hAnsi="Verdana" w:cs="Arial"/>
          <w:b/>
          <w:color w:val="000000"/>
        </w:rPr>
        <w:t xml:space="preserve">Individual Risk Assessments </w:t>
      </w:r>
    </w:p>
    <w:p w14:paraId="1479E514" w14:textId="77777777" w:rsidR="00B95B64" w:rsidRPr="00B95B64" w:rsidRDefault="00B95B64" w:rsidP="00B95B64">
      <w:pPr>
        <w:autoSpaceDE w:val="0"/>
        <w:autoSpaceDN w:val="0"/>
        <w:adjustRightInd w:val="0"/>
        <w:jc w:val="both"/>
        <w:rPr>
          <w:rFonts w:ascii="Verdana" w:hAnsi="Verdana" w:cs="Arial"/>
          <w:b/>
          <w:bCs/>
          <w:color w:val="000000"/>
        </w:rPr>
      </w:pPr>
    </w:p>
    <w:p w14:paraId="2355E325" w14:textId="5BD7BC50" w:rsidR="00B95B64" w:rsidRPr="00B95B64" w:rsidRDefault="00B95B64" w:rsidP="00B95B64">
      <w:pPr>
        <w:pStyle w:val="ListParagraph"/>
        <w:numPr>
          <w:ilvl w:val="0"/>
          <w:numId w:val="14"/>
        </w:numPr>
        <w:autoSpaceDE w:val="0"/>
        <w:autoSpaceDN w:val="0"/>
        <w:adjustRightInd w:val="0"/>
        <w:jc w:val="both"/>
        <w:rPr>
          <w:rFonts w:ascii="Verdana" w:hAnsi="Verdana" w:cs="Arial"/>
          <w:color w:val="000000"/>
        </w:rPr>
      </w:pPr>
      <w:r>
        <w:rPr>
          <w:rFonts w:ascii="Verdana" w:hAnsi="Verdana" w:cs="Arial"/>
          <w:color w:val="000000"/>
        </w:rPr>
        <w:t>S</w:t>
      </w:r>
      <w:r w:rsidRPr="00B95B64">
        <w:rPr>
          <w:rFonts w:ascii="Verdana" w:hAnsi="Verdana" w:cs="Arial"/>
          <w:color w:val="000000"/>
        </w:rPr>
        <w:t xml:space="preserve">taff will continually review and assess each child’s needs and presentation and regularly update their individual risk assessment with regards to potential ligature risks, which will include: </w:t>
      </w:r>
    </w:p>
    <w:p w14:paraId="30F7C2BB" w14:textId="77777777" w:rsidR="00B95B64" w:rsidRPr="00B95B64" w:rsidRDefault="00B95B64" w:rsidP="00B95B64">
      <w:pPr>
        <w:autoSpaceDE w:val="0"/>
        <w:autoSpaceDN w:val="0"/>
        <w:adjustRightInd w:val="0"/>
        <w:jc w:val="both"/>
        <w:rPr>
          <w:rFonts w:ascii="Verdana" w:hAnsi="Verdana" w:cs="Arial"/>
          <w:color w:val="000000"/>
        </w:rPr>
      </w:pPr>
    </w:p>
    <w:p w14:paraId="2BF653EE"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 xml:space="preserve">Previous history of suicide attempts </w:t>
      </w:r>
    </w:p>
    <w:p w14:paraId="23FE9CB1"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 xml:space="preserve">Previous history of using ligatures </w:t>
      </w:r>
    </w:p>
    <w:p w14:paraId="79CDF3DC"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Previous history of self-injury</w:t>
      </w:r>
    </w:p>
    <w:p w14:paraId="6D113CA6"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 xml:space="preserve">Change in circumstances or care planning  </w:t>
      </w:r>
    </w:p>
    <w:p w14:paraId="4950A4B7"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 xml:space="preserve">Anniversary of a significant event </w:t>
      </w:r>
    </w:p>
    <w:p w14:paraId="35CBD66D"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 xml:space="preserve">Level of mood, hopelessness </w:t>
      </w:r>
    </w:p>
    <w:p w14:paraId="67EDD42F" w14:textId="77777777" w:rsidR="00B95B64" w:rsidRPr="00B95B64" w:rsidRDefault="00B95B64" w:rsidP="00B95B64">
      <w:pPr>
        <w:pStyle w:val="ListParagraph"/>
        <w:numPr>
          <w:ilvl w:val="0"/>
          <w:numId w:val="15"/>
        </w:numPr>
        <w:autoSpaceDE w:val="0"/>
        <w:autoSpaceDN w:val="0"/>
        <w:adjustRightInd w:val="0"/>
        <w:jc w:val="both"/>
        <w:rPr>
          <w:rFonts w:ascii="Verdana" w:hAnsi="Verdana" w:cs="Arial"/>
          <w:color w:val="000000"/>
        </w:rPr>
      </w:pPr>
      <w:r w:rsidRPr="00B95B64">
        <w:rPr>
          <w:rFonts w:ascii="Verdana" w:hAnsi="Verdana" w:cs="Arial"/>
          <w:color w:val="000000"/>
        </w:rPr>
        <w:t xml:space="preserve">Suicidal intent, impulsivity control and expression of suicidal thoughts </w:t>
      </w:r>
    </w:p>
    <w:p w14:paraId="29F1FEF2" w14:textId="77777777" w:rsidR="00B95B64" w:rsidRPr="00B95B64" w:rsidRDefault="00B95B64" w:rsidP="00B95B64">
      <w:pPr>
        <w:autoSpaceDE w:val="0"/>
        <w:autoSpaceDN w:val="0"/>
        <w:adjustRightInd w:val="0"/>
        <w:jc w:val="both"/>
        <w:rPr>
          <w:rFonts w:ascii="Verdana" w:hAnsi="Verdana" w:cs="Arial"/>
          <w:color w:val="000000"/>
        </w:rPr>
      </w:pPr>
    </w:p>
    <w:p w14:paraId="76F467EB" w14:textId="77777777" w:rsidR="00B95B64" w:rsidRPr="00B95B64" w:rsidRDefault="00B95B64" w:rsidP="00B95B64">
      <w:pPr>
        <w:autoSpaceDE w:val="0"/>
        <w:autoSpaceDN w:val="0"/>
        <w:adjustRightInd w:val="0"/>
        <w:jc w:val="both"/>
        <w:rPr>
          <w:rFonts w:ascii="Verdana" w:hAnsi="Verdana" w:cs="Arial"/>
          <w:b/>
          <w:color w:val="000000"/>
        </w:rPr>
      </w:pPr>
      <w:r w:rsidRPr="00B95B64">
        <w:rPr>
          <w:rFonts w:ascii="Verdana" w:hAnsi="Verdana" w:cs="Arial"/>
          <w:b/>
          <w:color w:val="000000"/>
        </w:rPr>
        <w:t xml:space="preserve">Emergency intervention </w:t>
      </w:r>
    </w:p>
    <w:p w14:paraId="49FB22E8" w14:textId="77777777" w:rsidR="00B95B64" w:rsidRPr="00B95B64" w:rsidRDefault="00B95B64" w:rsidP="00B95B64">
      <w:pPr>
        <w:pStyle w:val="ListParagraph"/>
        <w:numPr>
          <w:ilvl w:val="0"/>
          <w:numId w:val="16"/>
        </w:numPr>
        <w:spacing w:before="200"/>
        <w:jc w:val="both"/>
        <w:rPr>
          <w:rFonts w:ascii="Verdana" w:eastAsia="Times New Roman" w:hAnsi="Verdana" w:cs="Arial"/>
        </w:rPr>
      </w:pPr>
      <w:r w:rsidRPr="00B95B64">
        <w:rPr>
          <w:rFonts w:ascii="Verdana" w:eastAsia="Times New Roman" w:hAnsi="Verdana" w:cs="Arial"/>
        </w:rPr>
        <w:t>In the unlikely event that a child has applied a ligature that has the potential to cause significant harm or death, staff have a duty of care to intervene and remove or reduce the ligature.</w:t>
      </w:r>
    </w:p>
    <w:p w14:paraId="68C632AF" w14:textId="77777777" w:rsidR="00B95B64" w:rsidRPr="00B95B64" w:rsidRDefault="00B95B64" w:rsidP="00B95B64">
      <w:pPr>
        <w:pStyle w:val="ListParagraph"/>
        <w:spacing w:before="200"/>
        <w:jc w:val="both"/>
        <w:rPr>
          <w:rFonts w:ascii="Verdana" w:eastAsia="Times New Roman" w:hAnsi="Verdana" w:cs="Arial"/>
        </w:rPr>
      </w:pPr>
    </w:p>
    <w:p w14:paraId="1E2C3EBF" w14:textId="7D5A6BF8" w:rsidR="00B95B64" w:rsidRPr="00B95B64" w:rsidRDefault="00654579" w:rsidP="00B95B64">
      <w:pPr>
        <w:pStyle w:val="ListParagraph"/>
        <w:numPr>
          <w:ilvl w:val="0"/>
          <w:numId w:val="16"/>
        </w:numPr>
        <w:spacing w:before="200"/>
        <w:jc w:val="both"/>
        <w:rPr>
          <w:rFonts w:ascii="Verdana" w:eastAsia="Times New Roman" w:hAnsi="Verdana" w:cs="Arial"/>
        </w:rPr>
      </w:pPr>
      <w:r>
        <w:rPr>
          <w:rFonts w:ascii="Verdana" w:eastAsia="Times New Roman" w:hAnsi="Verdana" w:cs="Arial"/>
        </w:rPr>
        <w:t xml:space="preserve">Where needed, </w:t>
      </w:r>
      <w:r w:rsidR="00B95B64" w:rsidRPr="00B95B64">
        <w:rPr>
          <w:rFonts w:ascii="Verdana" w:eastAsia="Times New Roman" w:hAnsi="Verdana" w:cs="Arial"/>
        </w:rPr>
        <w:t xml:space="preserve">staff will be trained on the safe removal of ligatures and how and when to use ligature cutters. </w:t>
      </w:r>
    </w:p>
    <w:p w14:paraId="37F946CB" w14:textId="77777777" w:rsidR="00B95B64" w:rsidRPr="00B95B64" w:rsidRDefault="00B95B64" w:rsidP="00B95B64">
      <w:pPr>
        <w:pStyle w:val="ListParagraph"/>
        <w:rPr>
          <w:rFonts w:ascii="Verdana" w:eastAsia="Times New Roman" w:hAnsi="Verdana" w:cs="Arial"/>
        </w:rPr>
      </w:pPr>
    </w:p>
    <w:p w14:paraId="43283CBC" w14:textId="3A366AAE" w:rsidR="00B95B64" w:rsidRPr="00654579" w:rsidRDefault="00B95B64" w:rsidP="00654579">
      <w:pPr>
        <w:pStyle w:val="ListParagraph"/>
        <w:numPr>
          <w:ilvl w:val="0"/>
          <w:numId w:val="16"/>
        </w:numPr>
        <w:spacing w:before="200"/>
        <w:jc w:val="both"/>
        <w:rPr>
          <w:rFonts w:ascii="Verdana" w:eastAsia="Times New Roman" w:hAnsi="Verdana" w:cs="Arial"/>
        </w:rPr>
      </w:pPr>
      <w:r w:rsidRPr="00B95B64">
        <w:rPr>
          <w:rFonts w:ascii="Verdana" w:eastAsia="Times New Roman" w:hAnsi="Verdana" w:cs="Arial"/>
        </w:rPr>
        <w:t>The Registered Manager</w:t>
      </w:r>
      <w:r w:rsidR="00654579">
        <w:rPr>
          <w:rFonts w:ascii="Verdana" w:eastAsia="Times New Roman" w:hAnsi="Verdana" w:cs="Arial"/>
        </w:rPr>
        <w:t xml:space="preserve"> or designated Health and Safety </w:t>
      </w:r>
      <w:proofErr w:type="gramStart"/>
      <w:r w:rsidR="00654579">
        <w:rPr>
          <w:rFonts w:ascii="Verdana" w:eastAsia="Times New Roman" w:hAnsi="Verdana" w:cs="Arial"/>
        </w:rPr>
        <w:t>worker,</w:t>
      </w:r>
      <w:proofErr w:type="gramEnd"/>
      <w:r w:rsidRPr="00654579">
        <w:rPr>
          <w:rFonts w:ascii="Verdana" w:eastAsia="Times New Roman" w:hAnsi="Verdana" w:cs="Arial"/>
        </w:rPr>
        <w:t xml:space="preserve"> will hold responsibility for checking the viability of all ligature cutter blades including if and when blades needs replacing.  This will take place at a minimum of every six months and after each use.</w:t>
      </w:r>
    </w:p>
    <w:p w14:paraId="419B2794" w14:textId="77777777" w:rsidR="00B95B64" w:rsidRPr="00B95B64" w:rsidRDefault="00B95B64" w:rsidP="00B95B64">
      <w:pPr>
        <w:pStyle w:val="ListParagraph"/>
        <w:rPr>
          <w:rFonts w:ascii="Verdana" w:eastAsia="Times New Roman" w:hAnsi="Verdana" w:cs="Arial"/>
        </w:rPr>
      </w:pPr>
    </w:p>
    <w:p w14:paraId="681E3566" w14:textId="77777777" w:rsidR="00B95B64" w:rsidRPr="00B95B64" w:rsidRDefault="00B95B64" w:rsidP="00B95B64">
      <w:pPr>
        <w:pStyle w:val="ListParagraph"/>
        <w:numPr>
          <w:ilvl w:val="0"/>
          <w:numId w:val="16"/>
        </w:numPr>
        <w:spacing w:before="200"/>
        <w:jc w:val="both"/>
        <w:rPr>
          <w:rFonts w:ascii="Verdana" w:eastAsia="Times New Roman" w:hAnsi="Verdana" w:cs="Arial"/>
        </w:rPr>
      </w:pPr>
      <w:r w:rsidRPr="00B95B64">
        <w:rPr>
          <w:rFonts w:ascii="Verdana" w:eastAsia="Times New Roman" w:hAnsi="Verdana" w:cs="Arial"/>
        </w:rPr>
        <w:t xml:space="preserve">The responding staff member will immediately alert the senior colleague on duty and a decision will be made as to whether medical assistance is required, depending on the circumstances and severity of the attempt. </w:t>
      </w:r>
    </w:p>
    <w:p w14:paraId="3DBE66A7" w14:textId="77777777" w:rsidR="00B95B64" w:rsidRPr="00B95B64" w:rsidRDefault="00B95B64" w:rsidP="00B95B64">
      <w:pPr>
        <w:pStyle w:val="ListParagraph"/>
        <w:rPr>
          <w:rFonts w:ascii="Verdana" w:eastAsia="Times New Roman" w:hAnsi="Verdana" w:cs="Arial"/>
        </w:rPr>
      </w:pPr>
    </w:p>
    <w:p w14:paraId="71FE6E9A" w14:textId="77777777" w:rsidR="00B95B64" w:rsidRPr="00B95B64" w:rsidRDefault="00B95B64" w:rsidP="00B95B64">
      <w:pPr>
        <w:pStyle w:val="ListParagraph"/>
        <w:numPr>
          <w:ilvl w:val="0"/>
          <w:numId w:val="16"/>
        </w:numPr>
        <w:spacing w:before="200"/>
        <w:jc w:val="both"/>
        <w:rPr>
          <w:rFonts w:ascii="Verdana" w:eastAsia="Times New Roman" w:hAnsi="Verdana" w:cs="Arial"/>
        </w:rPr>
      </w:pPr>
      <w:r w:rsidRPr="00B95B64">
        <w:rPr>
          <w:rFonts w:ascii="Verdana" w:eastAsia="Times New Roman" w:hAnsi="Verdana" w:cs="Arial"/>
        </w:rPr>
        <w:t>In most cases, it will be appropriate to take the child to the local Accident and Emergency department for professional advice and review of any injuries.</w:t>
      </w:r>
    </w:p>
    <w:p w14:paraId="3990C30A" w14:textId="77777777" w:rsidR="00B95B64" w:rsidRPr="00B95B64" w:rsidRDefault="00B95B64" w:rsidP="00B95B64">
      <w:pPr>
        <w:pStyle w:val="ListParagraph"/>
        <w:rPr>
          <w:rFonts w:ascii="Verdana" w:eastAsia="Times New Roman" w:hAnsi="Verdana" w:cs="Arial"/>
        </w:rPr>
      </w:pPr>
    </w:p>
    <w:p w14:paraId="285A1211" w14:textId="77777777" w:rsidR="00B95B64" w:rsidRPr="00B95B64" w:rsidRDefault="00B95B64" w:rsidP="00B95B64">
      <w:pPr>
        <w:pStyle w:val="ListParagraph"/>
        <w:numPr>
          <w:ilvl w:val="0"/>
          <w:numId w:val="16"/>
        </w:numPr>
        <w:spacing w:before="200"/>
        <w:jc w:val="both"/>
        <w:rPr>
          <w:rFonts w:ascii="Verdana" w:eastAsia="Times New Roman" w:hAnsi="Verdana" w:cs="Arial"/>
        </w:rPr>
      </w:pPr>
      <w:r w:rsidRPr="00B95B64">
        <w:rPr>
          <w:rFonts w:ascii="Verdana" w:eastAsia="Times New Roman" w:hAnsi="Verdana" w:cs="Arial"/>
        </w:rPr>
        <w:t xml:space="preserve">If the child has lost consciousness, staff will immediately call an ambulance and prepare for the child to be taken to hospital.  A staff member is to accompany the child to the hospital. </w:t>
      </w:r>
    </w:p>
    <w:p w14:paraId="4FCF548C" w14:textId="77777777" w:rsidR="00B95B64" w:rsidRPr="00B95B64" w:rsidRDefault="00B95B64" w:rsidP="00B95B64">
      <w:pPr>
        <w:pStyle w:val="ListParagraph"/>
        <w:rPr>
          <w:rFonts w:ascii="Arial" w:eastAsia="Times New Roman" w:hAnsi="Arial" w:cs="Arial"/>
          <w:sz w:val="24"/>
          <w:szCs w:val="24"/>
        </w:rPr>
      </w:pPr>
    </w:p>
    <w:p w14:paraId="7892127A" w14:textId="2273CEC0" w:rsidR="00B95B64" w:rsidRPr="00B95B64" w:rsidRDefault="00B95B64" w:rsidP="00B95B64">
      <w:pPr>
        <w:pStyle w:val="ListParagraph"/>
        <w:numPr>
          <w:ilvl w:val="0"/>
          <w:numId w:val="16"/>
        </w:numPr>
        <w:spacing w:before="200"/>
        <w:jc w:val="both"/>
        <w:rPr>
          <w:rFonts w:ascii="Verdana" w:eastAsia="Times New Roman" w:hAnsi="Verdana" w:cs="Arial"/>
        </w:rPr>
      </w:pPr>
      <w:r w:rsidRPr="00B95B64">
        <w:rPr>
          <w:rFonts w:ascii="Verdana" w:eastAsia="Times New Roman" w:hAnsi="Verdana" w:cs="Arial"/>
        </w:rPr>
        <w:t xml:space="preserve">Staff will offer a calm and soothing response to the child and avoid any over-emotive reactions.  </w:t>
      </w:r>
    </w:p>
    <w:p w14:paraId="16DBCA6F" w14:textId="21270F1B" w:rsidR="00B95B64" w:rsidRPr="00B95B64" w:rsidRDefault="00B95B64" w:rsidP="00B95B64">
      <w:pPr>
        <w:spacing w:before="200"/>
        <w:jc w:val="both"/>
        <w:rPr>
          <w:rFonts w:ascii="Verdana" w:eastAsia="Times New Roman" w:hAnsi="Verdana" w:cs="Arial"/>
        </w:rPr>
      </w:pPr>
      <w:r w:rsidRPr="00B95B64">
        <w:rPr>
          <w:rFonts w:ascii="Verdana" w:eastAsia="Times New Roman" w:hAnsi="Verdana" w:cs="Arial"/>
          <w:b/>
        </w:rPr>
        <w:t>Reporting and information sharing following an incident</w:t>
      </w:r>
    </w:p>
    <w:p w14:paraId="0650F635" w14:textId="645807C3" w:rsidR="00B95B64" w:rsidRPr="00B95B64" w:rsidRDefault="00B95B64" w:rsidP="00B95B64">
      <w:pPr>
        <w:pStyle w:val="ListParagraph"/>
        <w:numPr>
          <w:ilvl w:val="0"/>
          <w:numId w:val="17"/>
        </w:numPr>
        <w:spacing w:before="200"/>
        <w:jc w:val="both"/>
        <w:rPr>
          <w:rFonts w:ascii="Verdana" w:eastAsia="Times New Roman" w:hAnsi="Verdana" w:cs="Arial"/>
        </w:rPr>
      </w:pPr>
      <w:r w:rsidRPr="00B95B64">
        <w:rPr>
          <w:rFonts w:ascii="Verdana" w:eastAsia="Times New Roman" w:hAnsi="Verdana" w:cs="Arial"/>
        </w:rPr>
        <w:lastRenderedPageBreak/>
        <w:t>The child will be reviewed and additional resources will be put in place to support the child’s wellbeing.  This may involve specialised talking therapies or activities and additional supervision within the home.</w:t>
      </w:r>
    </w:p>
    <w:p w14:paraId="484C24CD" w14:textId="77777777" w:rsidR="00B95B64" w:rsidRPr="00B95B64" w:rsidRDefault="00B95B64" w:rsidP="00B95B64">
      <w:pPr>
        <w:pStyle w:val="ListParagraph"/>
        <w:spacing w:before="200"/>
        <w:jc w:val="both"/>
        <w:rPr>
          <w:rFonts w:ascii="Verdana" w:eastAsia="Times New Roman" w:hAnsi="Verdana" w:cs="Arial"/>
        </w:rPr>
      </w:pPr>
    </w:p>
    <w:p w14:paraId="059AA98F" w14:textId="1773C422" w:rsidR="00B95B64" w:rsidRPr="00B95B64" w:rsidRDefault="00B95B64" w:rsidP="00B95B64">
      <w:pPr>
        <w:pStyle w:val="ListParagraph"/>
        <w:numPr>
          <w:ilvl w:val="0"/>
          <w:numId w:val="17"/>
        </w:numPr>
        <w:spacing w:before="200"/>
        <w:jc w:val="both"/>
        <w:rPr>
          <w:rFonts w:ascii="Verdana" w:eastAsia="Times New Roman" w:hAnsi="Verdana" w:cs="Arial"/>
        </w:rPr>
      </w:pPr>
      <w:r w:rsidRPr="00B95B64">
        <w:rPr>
          <w:rFonts w:ascii="Verdana" w:eastAsia="Times New Roman" w:hAnsi="Verdana" w:cs="Arial"/>
        </w:rPr>
        <w:t xml:space="preserve">Any incident where a child has attempted to use or create a ligature will be recorded </w:t>
      </w:r>
      <w:r w:rsidR="00654579">
        <w:rPr>
          <w:rFonts w:ascii="Verdana" w:eastAsia="Times New Roman" w:hAnsi="Verdana" w:cs="Arial"/>
        </w:rPr>
        <w:t xml:space="preserve">on a Significant </w:t>
      </w:r>
      <w:r w:rsidRPr="00B95B64">
        <w:rPr>
          <w:rFonts w:ascii="Verdana" w:eastAsia="Times New Roman" w:hAnsi="Verdana" w:cs="Arial"/>
        </w:rPr>
        <w:t>Incident Report and shared with the child’s allocated social worker</w:t>
      </w:r>
      <w:r w:rsidR="00654579">
        <w:rPr>
          <w:rFonts w:ascii="Verdana" w:eastAsia="Times New Roman" w:hAnsi="Verdana" w:cs="Arial"/>
        </w:rPr>
        <w:t xml:space="preserve">, Ofsted via a </w:t>
      </w:r>
      <w:proofErr w:type="spellStart"/>
      <w:r w:rsidR="00654579">
        <w:rPr>
          <w:rFonts w:ascii="Verdana" w:eastAsia="Times New Roman" w:hAnsi="Verdana" w:cs="Arial"/>
        </w:rPr>
        <w:t>Reg</w:t>
      </w:r>
      <w:proofErr w:type="spellEnd"/>
      <w:r w:rsidR="00654579">
        <w:rPr>
          <w:rFonts w:ascii="Verdana" w:eastAsia="Times New Roman" w:hAnsi="Verdana" w:cs="Arial"/>
        </w:rPr>
        <w:t xml:space="preserve"> 40 notification,</w:t>
      </w:r>
      <w:r w:rsidRPr="00B95B64">
        <w:rPr>
          <w:rFonts w:ascii="Verdana" w:eastAsia="Times New Roman" w:hAnsi="Verdana" w:cs="Arial"/>
        </w:rPr>
        <w:t xml:space="preserve"> and any other appropriate adult as required. </w:t>
      </w:r>
    </w:p>
    <w:p w14:paraId="2A54F41A" w14:textId="77777777" w:rsidR="00BC36C7" w:rsidRPr="00BC36C7" w:rsidRDefault="00BC36C7" w:rsidP="00BC36C7">
      <w:pPr>
        <w:rPr>
          <w:rFonts w:ascii="Verdana" w:hAnsi="Verdana"/>
        </w:rPr>
      </w:pPr>
    </w:p>
    <w:p w14:paraId="1825508E"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5021089F">
                <wp:simplePos x="0" y="0"/>
                <wp:positionH relativeFrom="column">
                  <wp:posOffset>-112722</wp:posOffset>
                </wp:positionH>
                <wp:positionV relativeFrom="paragraph">
                  <wp:posOffset>115386</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14:paraId="6226CC6C" w14:textId="7A490B30" w:rsidR="00BC36C7" w:rsidRPr="00FD558C" w:rsidRDefault="00E17BE8" w:rsidP="00BC36C7">
                            <w:pPr>
                              <w:autoSpaceDE w:val="0"/>
                              <w:autoSpaceDN w:val="0"/>
                              <w:adjustRightInd w:val="0"/>
                              <w:jc w:val="both"/>
                              <w:rPr>
                                <w:rFonts w:ascii="Verdana" w:eastAsia="Calibri" w:hAnsi="Verdana" w:cs="MS Reference Sans Serif"/>
                                <w:b/>
                                <w:color w:val="4F81BD" w:themeColor="accent1"/>
                              </w:rPr>
                            </w:pPr>
                            <w:r w:rsidRPr="00FD558C">
                              <w:rPr>
                                <w:rFonts w:ascii="Verdana" w:eastAsia="Calibri" w:hAnsi="Verdana" w:cs="MS Reference Sans Serif"/>
                                <w:b/>
                                <w:color w:val="4F81BD" w:themeColor="accent1"/>
                              </w:rPr>
                              <w:t xml:space="preserve">Links to related documents: </w:t>
                            </w:r>
                          </w:p>
                          <w:p w14:paraId="19BC193E" w14:textId="77777777" w:rsidR="00B95B64" w:rsidRPr="00FD558C" w:rsidRDefault="00B95B64" w:rsidP="00B95B64">
                            <w:pPr>
                              <w:jc w:val="both"/>
                              <w:rPr>
                                <w:rFonts w:ascii="Verdana" w:hAnsi="Verdana" w:cs="Arial"/>
                              </w:rPr>
                            </w:pPr>
                          </w:p>
                          <w:p w14:paraId="413B352C" w14:textId="77777777" w:rsidR="00C6142D" w:rsidRPr="00C6142D" w:rsidRDefault="00C6142D" w:rsidP="00B95B64">
                            <w:pPr>
                              <w:jc w:val="both"/>
                              <w:rPr>
                                <w:rFonts w:ascii="Verdana" w:hAnsi="Verdana" w:cs="Arial"/>
                              </w:rPr>
                            </w:pPr>
                            <w:r w:rsidRPr="00C6142D">
                              <w:rPr>
                                <w:rFonts w:ascii="Verdana" w:hAnsi="Verdana" w:cs="Arial"/>
                              </w:rPr>
                              <w:t xml:space="preserve">WSCB </w:t>
                            </w:r>
                            <w:r w:rsidR="00B95B64" w:rsidRPr="00C6142D">
                              <w:rPr>
                                <w:rFonts w:ascii="Verdana" w:hAnsi="Verdana" w:cs="Arial"/>
                              </w:rPr>
                              <w:t xml:space="preserve">Safeguarding </w:t>
                            </w:r>
                            <w:r w:rsidRPr="00C6142D">
                              <w:rPr>
                                <w:rFonts w:ascii="Verdana" w:hAnsi="Verdana" w:cs="Arial"/>
                              </w:rPr>
                              <w:t xml:space="preserve">Policy </w:t>
                            </w:r>
                          </w:p>
                          <w:p w14:paraId="73C26C0D" w14:textId="1773C2A3" w:rsidR="00B95B64" w:rsidRPr="00C6142D" w:rsidRDefault="00C6142D" w:rsidP="00B95B64">
                            <w:pPr>
                              <w:jc w:val="both"/>
                              <w:rPr>
                                <w:rFonts w:ascii="Verdana" w:hAnsi="Verdana" w:cs="Arial"/>
                              </w:rPr>
                            </w:pPr>
                            <w:r w:rsidRPr="00C6142D">
                              <w:rPr>
                                <w:rFonts w:ascii="Verdana" w:hAnsi="Verdana" w:cs="Arial"/>
                              </w:rPr>
                              <w:t xml:space="preserve">Recognising Abuse and Neglect  </w:t>
                            </w:r>
                          </w:p>
                          <w:p w14:paraId="5997F5EF" w14:textId="20736952" w:rsidR="00C6142D" w:rsidRPr="00C6142D" w:rsidRDefault="00C6142D" w:rsidP="00B95B64">
                            <w:pPr>
                              <w:jc w:val="both"/>
                              <w:rPr>
                                <w:rFonts w:ascii="Verdana" w:hAnsi="Verdana" w:cs="Arial"/>
                              </w:rPr>
                            </w:pPr>
                            <w:r w:rsidRPr="00C6142D">
                              <w:rPr>
                                <w:rFonts w:ascii="Verdana" w:hAnsi="Verdana" w:cs="Arial"/>
                              </w:rPr>
                              <w:t xml:space="preserve">Referring Safeguarding Concerns </w:t>
                            </w:r>
                          </w:p>
                          <w:p w14:paraId="04B82C28" w14:textId="5E51F6F4" w:rsidR="00B95B64" w:rsidRPr="00FD558C" w:rsidRDefault="00C6142D" w:rsidP="00B95B64">
                            <w:pPr>
                              <w:jc w:val="both"/>
                              <w:rPr>
                                <w:rFonts w:ascii="Verdana" w:hAnsi="Verdana" w:cs="Arial"/>
                              </w:rPr>
                            </w:pPr>
                            <w:r>
                              <w:rPr>
                                <w:rFonts w:ascii="Verdana" w:hAnsi="Verdana" w:cs="Arial"/>
                              </w:rPr>
                              <w:t xml:space="preserve">Safety Checks on a Children’s Home </w:t>
                            </w:r>
                          </w:p>
                          <w:p w14:paraId="2882B0B5" w14:textId="3B82DE6C" w:rsidR="00B95B64" w:rsidRPr="00FD558C" w:rsidRDefault="00B95B64" w:rsidP="00B95B64">
                            <w:pPr>
                              <w:jc w:val="both"/>
                              <w:rPr>
                                <w:rFonts w:ascii="Verdana" w:hAnsi="Verdana" w:cs="Arial"/>
                              </w:rPr>
                            </w:pPr>
                            <w:r w:rsidRPr="00FD558C">
                              <w:rPr>
                                <w:rFonts w:ascii="Verdana" w:hAnsi="Verdana" w:cs="Arial"/>
                              </w:rPr>
                              <w:t xml:space="preserve">Searching Children and Bedrooms </w:t>
                            </w:r>
                          </w:p>
                          <w:p w14:paraId="2DD31244" w14:textId="7AD1EFAC"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8.9pt;margin-top:9.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" fillcolor="#dce6f2" stroked="f" strokeweight=".5pt">
                <v:textbox>
                  <w:txbxContent>
                    <w:p w14:paraId="6226CC6C" w14:textId="7A490B30" w:rsidR="00BC36C7" w:rsidRPr="00FD558C" w:rsidRDefault="00E17BE8" w:rsidP="00BC36C7">
                      <w:pPr>
                        <w:autoSpaceDE w:val="0"/>
                        <w:autoSpaceDN w:val="0"/>
                        <w:adjustRightInd w:val="0"/>
                        <w:jc w:val="both"/>
                        <w:rPr>
                          <w:rFonts w:ascii="Verdana" w:eastAsia="Calibri" w:hAnsi="Verdana" w:cs="MS Reference Sans Serif"/>
                          <w:b/>
                          <w:color w:val="4F81BD" w:themeColor="accent1"/>
                        </w:rPr>
                      </w:pPr>
                      <w:r w:rsidRPr="00FD558C">
                        <w:rPr>
                          <w:rFonts w:ascii="Verdana" w:eastAsia="Calibri" w:hAnsi="Verdana" w:cs="MS Reference Sans Serif"/>
                          <w:b/>
                          <w:color w:val="4F81BD" w:themeColor="accent1"/>
                        </w:rPr>
                        <w:t xml:space="preserve">Links to related documents: </w:t>
                      </w:r>
                    </w:p>
                    <w:p w14:paraId="19BC193E" w14:textId="77777777" w:rsidR="00B95B64" w:rsidRPr="00FD558C" w:rsidRDefault="00B95B64" w:rsidP="00B95B64">
                      <w:pPr>
                        <w:jc w:val="both"/>
                        <w:rPr>
                          <w:rFonts w:ascii="Verdana" w:hAnsi="Verdana" w:cs="Arial"/>
                        </w:rPr>
                      </w:pPr>
                    </w:p>
                    <w:p w14:paraId="413B352C" w14:textId="77777777" w:rsidR="00C6142D" w:rsidRPr="00C6142D" w:rsidRDefault="00C6142D" w:rsidP="00B95B64">
                      <w:pPr>
                        <w:jc w:val="both"/>
                        <w:rPr>
                          <w:rFonts w:ascii="Verdana" w:hAnsi="Verdana" w:cs="Arial"/>
                        </w:rPr>
                      </w:pPr>
                      <w:r w:rsidRPr="00C6142D">
                        <w:rPr>
                          <w:rFonts w:ascii="Verdana" w:hAnsi="Verdana" w:cs="Arial"/>
                        </w:rPr>
                        <w:t xml:space="preserve">WSCB </w:t>
                      </w:r>
                      <w:r w:rsidR="00B95B64" w:rsidRPr="00C6142D">
                        <w:rPr>
                          <w:rFonts w:ascii="Verdana" w:hAnsi="Verdana" w:cs="Arial"/>
                        </w:rPr>
                        <w:t xml:space="preserve">Safeguarding </w:t>
                      </w:r>
                      <w:r w:rsidRPr="00C6142D">
                        <w:rPr>
                          <w:rFonts w:ascii="Verdana" w:hAnsi="Verdana" w:cs="Arial"/>
                        </w:rPr>
                        <w:t xml:space="preserve">Policy </w:t>
                      </w:r>
                    </w:p>
                    <w:p w14:paraId="73C26C0D" w14:textId="1773C2A3" w:rsidR="00B95B64" w:rsidRPr="00C6142D" w:rsidRDefault="00C6142D" w:rsidP="00B95B64">
                      <w:pPr>
                        <w:jc w:val="both"/>
                        <w:rPr>
                          <w:rFonts w:ascii="Verdana" w:hAnsi="Verdana" w:cs="Arial"/>
                        </w:rPr>
                      </w:pPr>
                      <w:r w:rsidRPr="00C6142D">
                        <w:rPr>
                          <w:rFonts w:ascii="Verdana" w:hAnsi="Verdana" w:cs="Arial"/>
                        </w:rPr>
                        <w:t xml:space="preserve">Recognising Abuse and Neglect  </w:t>
                      </w:r>
                    </w:p>
                    <w:p w14:paraId="5997F5EF" w14:textId="20736952" w:rsidR="00C6142D" w:rsidRPr="00C6142D" w:rsidRDefault="00C6142D" w:rsidP="00B95B64">
                      <w:pPr>
                        <w:jc w:val="both"/>
                        <w:rPr>
                          <w:rFonts w:ascii="Verdana" w:hAnsi="Verdana" w:cs="Arial"/>
                        </w:rPr>
                      </w:pPr>
                      <w:r w:rsidRPr="00C6142D">
                        <w:rPr>
                          <w:rFonts w:ascii="Verdana" w:hAnsi="Verdana" w:cs="Arial"/>
                        </w:rPr>
                        <w:t xml:space="preserve">Referring Safeguarding Concerns </w:t>
                      </w:r>
                    </w:p>
                    <w:p w14:paraId="04B82C28" w14:textId="5E51F6F4" w:rsidR="00B95B64" w:rsidRPr="00FD558C" w:rsidRDefault="00C6142D" w:rsidP="00B95B64">
                      <w:pPr>
                        <w:jc w:val="both"/>
                        <w:rPr>
                          <w:rFonts w:ascii="Verdana" w:hAnsi="Verdana" w:cs="Arial"/>
                        </w:rPr>
                      </w:pPr>
                      <w:r>
                        <w:rPr>
                          <w:rFonts w:ascii="Verdana" w:hAnsi="Verdana" w:cs="Arial"/>
                        </w:rPr>
                        <w:t xml:space="preserve">Safety Checks on a Children’s Home </w:t>
                      </w:r>
                    </w:p>
                    <w:p w14:paraId="2882B0B5" w14:textId="3B82DE6C" w:rsidR="00B95B64" w:rsidRPr="00FD558C" w:rsidRDefault="00B95B64" w:rsidP="00B95B64">
                      <w:pPr>
                        <w:jc w:val="both"/>
                        <w:rPr>
                          <w:rFonts w:ascii="Verdana" w:hAnsi="Verdana" w:cs="Arial"/>
                        </w:rPr>
                      </w:pPr>
                      <w:r w:rsidRPr="00FD558C">
                        <w:rPr>
                          <w:rFonts w:ascii="Verdana" w:hAnsi="Verdana" w:cs="Arial"/>
                        </w:rPr>
                        <w:t xml:space="preserve">Searching Children and Bedrooms </w:t>
                      </w:r>
                    </w:p>
                    <w:p w14:paraId="2DD31244" w14:textId="7AD1EFAC"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4E5A6A0C" w14:textId="77777777" w:rsidR="00C706E4" w:rsidRDefault="00BC36C7" w:rsidP="00BC36C7">
      <w:pPr>
        <w:tabs>
          <w:tab w:val="left" w:pos="2767"/>
        </w:tabs>
        <w:rPr>
          <w:rFonts w:ascii="Verdana" w:hAnsi="Verdana"/>
        </w:rPr>
      </w:pPr>
      <w:r>
        <w:rPr>
          <w:rFonts w:ascii="Verdana" w:hAnsi="Verdana"/>
        </w:rPr>
        <w:tab/>
      </w:r>
    </w:p>
    <w:p w14:paraId="7DA324F9" w14:textId="77777777" w:rsidR="00BC36C7" w:rsidRDefault="00BC36C7" w:rsidP="00BC36C7">
      <w:pPr>
        <w:tabs>
          <w:tab w:val="left" w:pos="2767"/>
        </w:tabs>
        <w:rPr>
          <w:rFonts w:ascii="Verdana" w:hAnsi="Verdana"/>
        </w:rPr>
      </w:pPr>
    </w:p>
    <w:p w14:paraId="76CE63C2" w14:textId="77777777" w:rsidR="00BC36C7" w:rsidRPr="00BC36C7" w:rsidRDefault="00BC36C7" w:rsidP="00BC36C7">
      <w:pPr>
        <w:tabs>
          <w:tab w:val="left" w:pos="2767"/>
        </w:tabs>
        <w:rPr>
          <w:rFonts w:ascii="Verdana" w:hAnsi="Verdana"/>
        </w:rPr>
      </w:pPr>
      <w:bookmarkStart w:id="0" w:name="_GoBack"/>
      <w:bookmarkEnd w:id="0"/>
    </w:p>
    <w:sectPr w:rsidR="00BC36C7" w:rsidRPr="00BC36C7" w:rsidSect="004B1A4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57553068" w:rsidR="00A46795" w:rsidRDefault="00A46795" w:rsidP="00EC0BFC">
    <w:pPr>
      <w:pStyle w:val="Footer"/>
      <w:jc w:val="center"/>
    </w:pPr>
  </w:p>
  <w:p w14:paraId="08D5A19F" w14:textId="00203852" w:rsidR="00A46795" w:rsidRDefault="004B1A4D">
    <w:pPr>
      <w:pStyle w:val="Footer"/>
    </w:pPr>
    <w:r>
      <w:t>V1.1 (Oct</w:t>
    </w:r>
    <w:r w:rsidR="00E17BE8">
      <w:t xml:space="preserve"> 2019</w:t>
    </w:r>
    <w:r w:rsidR="00EC0BFC">
      <w:t xml:space="preserve">) Document ownership: Service Lead for Residential </w:t>
    </w:r>
    <w:r w:rsidR="00E17BE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30896"/>
      <w:docPartObj>
        <w:docPartGallery w:val="Page Numbers (Top of Page)"/>
        <w:docPartUnique/>
      </w:docPartObj>
    </w:sdtPr>
    <w:sdtEndPr>
      <w:rPr>
        <w:noProof/>
      </w:rPr>
    </w:sdtEndPr>
    <w:sdtContent>
      <w:p w14:paraId="2A5878A7" w14:textId="26493061" w:rsidR="00EC0BFC" w:rsidRDefault="004B1A4D" w:rsidP="004B1A4D">
        <w:pPr>
          <w:pStyle w:val="Header"/>
        </w:pPr>
        <w:r>
          <w:rPr>
            <w:noProof/>
          </w:rPr>
          <w:drawing>
            <wp:inline distT="0" distB="0" distL="0" distR="0" wp14:anchorId="3CE673F9" wp14:editId="514DDA02">
              <wp:extent cx="1864196" cy="63445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75399" cy="638266"/>
                      </a:xfrm>
                      <a:prstGeom prst="rect">
                        <a:avLst/>
                      </a:prstGeom>
                    </pic:spPr>
                  </pic:pic>
                </a:graphicData>
              </a:graphic>
            </wp:inline>
          </w:drawing>
        </w:r>
        <w:r>
          <w:t xml:space="preserve">                                  </w:t>
        </w:r>
        <w:r w:rsidR="00EC0BFC" w:rsidRPr="004B1A4D">
          <w:rPr>
            <w:rFonts w:ascii="Verdana" w:hAnsi="Verdana"/>
          </w:rPr>
          <w:fldChar w:fldCharType="begin"/>
        </w:r>
        <w:r w:rsidR="00EC0BFC" w:rsidRPr="004B1A4D">
          <w:rPr>
            <w:rFonts w:ascii="Verdana" w:hAnsi="Verdana"/>
          </w:rPr>
          <w:instrText xml:space="preserve"> PAGE   \* MERGEFORMAT </w:instrText>
        </w:r>
        <w:r w:rsidR="00EC0BFC" w:rsidRPr="004B1A4D">
          <w:rPr>
            <w:rFonts w:ascii="Verdana" w:hAnsi="Verdana"/>
          </w:rPr>
          <w:fldChar w:fldCharType="separate"/>
        </w:r>
        <w:r>
          <w:rPr>
            <w:rFonts w:ascii="Verdana" w:hAnsi="Verdana"/>
            <w:noProof/>
          </w:rPr>
          <w:t>3</w:t>
        </w:r>
        <w:r w:rsidR="00EC0BFC" w:rsidRPr="004B1A4D">
          <w:rPr>
            <w:rFonts w:ascii="Verdana" w:hAnsi="Verdana"/>
            <w:noProof/>
          </w:rPr>
          <w:fldChar w:fldCharType="end"/>
        </w:r>
        <w:r w:rsidRPr="004B1A4D">
          <w:rPr>
            <w:rFonts w:ascii="Verdana" w:hAnsi="Verdana"/>
            <w:noProof/>
          </w:rPr>
          <w:t xml:space="preserve">                   </w:t>
        </w:r>
        <w:r>
          <w:rPr>
            <w:rFonts w:ascii="Verdana" w:hAnsi="Verdana"/>
            <w:noProof/>
          </w:rPr>
          <w:t xml:space="preserve">         </w:t>
        </w:r>
        <w:r w:rsidRPr="004B1A4D">
          <w:rPr>
            <w:rFonts w:ascii="Verdana" w:hAnsi="Verdana"/>
            <w:noProof/>
          </w:rPr>
          <w:t>Children’s Residential Service</w:t>
        </w:r>
        <w:r>
          <w:rPr>
            <w:noProof/>
          </w:rPr>
          <w:t xml:space="preserve"> </w:t>
        </w:r>
      </w:p>
    </w:sdtContent>
  </w:sdt>
  <w:p w14:paraId="26288885" w14:textId="77777777" w:rsidR="00EC0BFC" w:rsidRDefault="00EC0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044C"/>
    <w:multiLevelType w:val="hybridMultilevel"/>
    <w:tmpl w:val="23A6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664197"/>
    <w:multiLevelType w:val="hybridMultilevel"/>
    <w:tmpl w:val="233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9AE17EA"/>
    <w:multiLevelType w:val="hybridMultilevel"/>
    <w:tmpl w:val="34981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226CFB"/>
    <w:multiLevelType w:val="hybridMultilevel"/>
    <w:tmpl w:val="41DC26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E1A2B04"/>
    <w:multiLevelType w:val="hybridMultilevel"/>
    <w:tmpl w:val="70FC0266"/>
    <w:lvl w:ilvl="0" w:tplc="493CF8E2">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B52AA7"/>
    <w:multiLevelType w:val="hybridMultilevel"/>
    <w:tmpl w:val="AF4C9FE2"/>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1C1FB1"/>
    <w:multiLevelType w:val="hybridMultilevel"/>
    <w:tmpl w:val="E582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3E285C"/>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53BE695B"/>
    <w:multiLevelType w:val="hybridMultilevel"/>
    <w:tmpl w:val="0A9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10CFC"/>
    <w:multiLevelType w:val="hybridMultilevel"/>
    <w:tmpl w:val="7850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FB05B9"/>
    <w:multiLevelType w:val="hybridMultilevel"/>
    <w:tmpl w:val="C626416A"/>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A11262"/>
    <w:multiLevelType w:val="hybridMultilevel"/>
    <w:tmpl w:val="FE38625E"/>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317C0"/>
    <w:multiLevelType w:val="hybridMultilevel"/>
    <w:tmpl w:val="96F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B97945"/>
    <w:multiLevelType w:val="hybridMultilevel"/>
    <w:tmpl w:val="A30C94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8033C3"/>
    <w:multiLevelType w:val="hybridMultilevel"/>
    <w:tmpl w:val="67824A42"/>
    <w:lvl w:ilvl="0" w:tplc="57389436">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12"/>
  </w:num>
  <w:num w:numId="5">
    <w:abstractNumId w:val="5"/>
  </w:num>
  <w:num w:numId="6">
    <w:abstractNumId w:val="0"/>
  </w:num>
  <w:num w:numId="7">
    <w:abstractNumId w:val="16"/>
  </w:num>
  <w:num w:numId="8">
    <w:abstractNumId w:val="6"/>
  </w:num>
  <w:num w:numId="9">
    <w:abstractNumId w:val="8"/>
  </w:num>
  <w:num w:numId="10">
    <w:abstractNumId w:val="15"/>
  </w:num>
  <w:num w:numId="11">
    <w:abstractNumId w:val="1"/>
  </w:num>
  <w:num w:numId="12">
    <w:abstractNumId w:val="3"/>
  </w:num>
  <w:num w:numId="13">
    <w:abstractNumId w:val="9"/>
  </w:num>
  <w:num w:numId="14">
    <w:abstractNumId w:val="7"/>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3C1F55"/>
    <w:rsid w:val="004B1A4D"/>
    <w:rsid w:val="005365EF"/>
    <w:rsid w:val="00654579"/>
    <w:rsid w:val="006A15F4"/>
    <w:rsid w:val="007D5DF2"/>
    <w:rsid w:val="00873F7E"/>
    <w:rsid w:val="00990000"/>
    <w:rsid w:val="00996040"/>
    <w:rsid w:val="009E6C39"/>
    <w:rsid w:val="009F3BB2"/>
    <w:rsid w:val="00A1042A"/>
    <w:rsid w:val="00A30A26"/>
    <w:rsid w:val="00A46795"/>
    <w:rsid w:val="00B95B64"/>
    <w:rsid w:val="00BC36C7"/>
    <w:rsid w:val="00C55A45"/>
    <w:rsid w:val="00C6142D"/>
    <w:rsid w:val="00C706E4"/>
    <w:rsid w:val="00CF0F80"/>
    <w:rsid w:val="00E17BE8"/>
    <w:rsid w:val="00E33B70"/>
    <w:rsid w:val="00EC0BFC"/>
    <w:rsid w:val="00F13EFA"/>
    <w:rsid w:val="00FC6811"/>
    <w:rsid w:val="00FD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B9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A4D"/>
    <w:rPr>
      <w:rFonts w:ascii="Tahoma" w:hAnsi="Tahoma" w:cs="Tahoma"/>
      <w:sz w:val="16"/>
      <w:szCs w:val="16"/>
    </w:rPr>
  </w:style>
  <w:style w:type="character" w:customStyle="1" w:styleId="BalloonTextChar">
    <w:name w:val="Balloon Text Char"/>
    <w:basedOn w:val="DefaultParagraphFont"/>
    <w:link w:val="BalloonText"/>
    <w:uiPriority w:val="99"/>
    <w:semiHidden/>
    <w:rsid w:val="004B1A4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B9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A4D"/>
    <w:rPr>
      <w:rFonts w:ascii="Tahoma" w:hAnsi="Tahoma" w:cs="Tahoma"/>
      <w:sz w:val="16"/>
      <w:szCs w:val="16"/>
    </w:rPr>
  </w:style>
  <w:style w:type="character" w:customStyle="1" w:styleId="BalloonTextChar">
    <w:name w:val="Balloon Text Char"/>
    <w:basedOn w:val="DefaultParagraphFont"/>
    <w:link w:val="BalloonText"/>
    <w:uiPriority w:val="99"/>
    <w:semiHidden/>
    <w:rsid w:val="004B1A4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office/infopath/2007/PartnerControls"/>
    <ds:schemaRef ds:uri="http://purl.org/dc/elements/1.1/"/>
    <ds:schemaRef ds:uri="1209568c-8f7e-4a25-939e-4f22fd0c2b25"/>
    <ds:schemaRef ds:uri="http://www.w3.org/XML/1998/namespace"/>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1642CF15-0876-4CC9-AE79-B87569B6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2019-10-31T12:54:00Z</dcterms:created>
  <dcterms:modified xsi:type="dcterms:W3CDTF">2019-10-31T12:54:00Z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