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4FEEBCA5" w:rsidR="003F6C2C" w:rsidRPr="004D4C3B"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bookmarkStart w:id="0" w:name="_Hlk108074565"/>
      <w:r w:rsidRPr="00222F63">
        <w:rPr>
          <w:rFonts w:ascii="Arial" w:eastAsiaTheme="minorEastAsia" w:hAnsi="Arial" w:cs="Arial"/>
          <w:b/>
          <w:bCs/>
          <w:noProof/>
          <w:color w:val="002060"/>
          <w:sz w:val="40"/>
          <w:szCs w:val="40"/>
          <w:lang w:eastAsia="en-GB"/>
        </w:rPr>
        <w:drawing>
          <wp:anchor distT="0" distB="0" distL="114300" distR="114300" simplePos="0" relativeHeight="251659264"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222F63" w:rsidRPr="00222F63">
        <w:rPr>
          <w:rFonts w:ascii="Arial" w:eastAsiaTheme="minorEastAsia" w:hAnsi="Arial" w:cs="Arial"/>
          <w:b/>
          <w:bCs/>
          <w:noProof/>
          <w:color w:val="002060"/>
          <w:sz w:val="40"/>
          <w:szCs w:val="40"/>
          <w:lang w:eastAsia="en-GB"/>
        </w:rPr>
        <w:t>Step Across to Fostering Policy</w:t>
      </w:r>
    </w:p>
    <w:p w14:paraId="7124DF20" w14:textId="27184551"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936658" w:rsidRPr="00936658">
        <w:rPr>
          <w:rFonts w:ascii="Arial" w:eastAsiaTheme="minorEastAsia" w:hAnsi="Arial" w:cs="Arial"/>
          <w:b/>
          <w:bCs/>
          <w:color w:val="002060"/>
          <w:sz w:val="24"/>
          <w:szCs w:val="24"/>
          <w:lang w:eastAsia="en-GB"/>
        </w:rPr>
        <w:t>Mark Vening, Maria Cordrey, Heads of Fostering</w:t>
      </w:r>
    </w:p>
    <w:p w14:paraId="62AF6161" w14:textId="3D487FF3"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16B45C11"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936658">
        <w:rPr>
          <w:rFonts w:ascii="Arial" w:eastAsiaTheme="minorEastAsia" w:hAnsi="Arial" w:cs="Arial"/>
          <w:b/>
          <w:bCs/>
          <w:color w:val="002060"/>
          <w:sz w:val="24"/>
          <w:szCs w:val="24"/>
          <w:lang w:eastAsia="en-GB"/>
        </w:rPr>
        <w:t>January 2024</w:t>
      </w:r>
    </w:p>
    <w:p w14:paraId="633FCC95" w14:textId="0EFE65DD"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936658">
        <w:rPr>
          <w:rFonts w:ascii="Arial" w:eastAsiaTheme="minorEastAsia" w:hAnsi="Arial" w:cs="Arial"/>
          <w:b/>
          <w:bCs/>
          <w:color w:val="002060"/>
          <w:sz w:val="24"/>
          <w:szCs w:val="24"/>
          <w:lang w:eastAsia="en-GB"/>
        </w:rPr>
        <w:t>January 2025</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255B7923"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5C65CB">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3"/>
        <w:gridCol w:w="1963"/>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199553FA" w:rsidR="00180D26" w:rsidRPr="00180D26" w:rsidRDefault="00222F63" w:rsidP="005936F6">
            <w:pPr>
              <w:jc w:val="center"/>
              <w:rPr>
                <w:rFonts w:ascii="Arial" w:hAnsi="Arial" w:cs="Arial"/>
                <w:bCs/>
                <w:sz w:val="24"/>
                <w:szCs w:val="24"/>
              </w:rPr>
            </w:pPr>
            <w:r>
              <w:rPr>
                <w:rFonts w:ascii="Arial" w:hAnsi="Arial" w:cs="Arial"/>
                <w:bCs/>
                <w:sz w:val="24"/>
                <w:szCs w:val="24"/>
              </w:rPr>
              <w:t>Step Across to Fostering Policy</w:t>
            </w:r>
          </w:p>
        </w:tc>
        <w:tc>
          <w:tcPr>
            <w:tcW w:w="2046" w:type="dxa"/>
          </w:tcPr>
          <w:p w14:paraId="57AACF10" w14:textId="10C369E0" w:rsidR="00180D26" w:rsidRPr="00180D26" w:rsidRDefault="00222F63"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4E73BAD0" w:rsidR="00180D26" w:rsidRDefault="002B4853" w:rsidP="00B24E4D">
      <w:pPr>
        <w:rPr>
          <w:rFonts w:ascii="Arial" w:hAnsi="Arial" w:cs="Arial"/>
          <w:sz w:val="24"/>
          <w:szCs w:val="24"/>
        </w:rPr>
      </w:pPr>
      <w:r>
        <w:rPr>
          <w:rFonts w:ascii="Arial" w:hAnsi="Arial" w:cs="Arial"/>
          <w:sz w:val="24"/>
          <w:szCs w:val="24"/>
        </w:rPr>
        <w:t>Accessibility checked</w:t>
      </w:r>
      <w:r w:rsidR="00F644EB">
        <w:rPr>
          <w:rFonts w:ascii="Arial" w:hAnsi="Arial" w:cs="Arial"/>
          <w:sz w:val="24"/>
          <w:szCs w:val="24"/>
        </w:rPr>
        <w:t xml:space="preserve"> </w:t>
      </w:r>
      <w:r w:rsidR="00222F63">
        <w:rPr>
          <w:rFonts w:ascii="Arial" w:hAnsi="Arial" w:cs="Arial"/>
          <w:sz w:val="24"/>
          <w:szCs w:val="24"/>
        </w:rPr>
        <w:t>15/04/24</w:t>
      </w:r>
    </w:p>
    <w:p w14:paraId="3421AA54" w14:textId="77777777" w:rsidR="00180D26" w:rsidRDefault="00180D26" w:rsidP="00B24E4D">
      <w:pPr>
        <w:rPr>
          <w:rFonts w:ascii="Arial" w:hAnsi="Arial" w:cs="Arial"/>
          <w:sz w:val="24"/>
          <w:szCs w:val="24"/>
        </w:rPr>
      </w:pPr>
    </w:p>
    <w:p w14:paraId="1D0A9456" w14:textId="77777777" w:rsidR="000A0485" w:rsidRDefault="000A0485" w:rsidP="00B24E4D">
      <w:pPr>
        <w:rPr>
          <w:rFonts w:ascii="Arial" w:hAnsi="Arial" w:cs="Arial"/>
          <w:sz w:val="24"/>
          <w:szCs w:val="24"/>
        </w:rPr>
      </w:pPr>
    </w:p>
    <w:p w14:paraId="4BEA8CBE" w14:textId="77777777" w:rsidR="009B0333" w:rsidRPr="009B0333" w:rsidRDefault="009B0333" w:rsidP="009B0333">
      <w:pPr>
        <w:rPr>
          <w:rFonts w:ascii="Arial" w:hAnsi="Arial" w:cs="Arial"/>
          <w:sz w:val="24"/>
          <w:szCs w:val="24"/>
        </w:rPr>
      </w:pPr>
    </w:p>
    <w:p w14:paraId="558CF2B0" w14:textId="77777777" w:rsidR="009B0333" w:rsidRPr="009B0333" w:rsidRDefault="009B0333" w:rsidP="009B0333">
      <w:pPr>
        <w:rPr>
          <w:rFonts w:ascii="Arial" w:hAnsi="Arial" w:cs="Arial"/>
          <w:sz w:val="24"/>
          <w:szCs w:val="24"/>
        </w:rPr>
      </w:pPr>
    </w:p>
    <w:p w14:paraId="131A8A85" w14:textId="77777777" w:rsidR="009B0333" w:rsidRPr="009B0333" w:rsidRDefault="009B0333" w:rsidP="009B0333">
      <w:pPr>
        <w:rPr>
          <w:rFonts w:ascii="Arial" w:hAnsi="Arial" w:cs="Arial"/>
          <w:sz w:val="24"/>
          <w:szCs w:val="24"/>
        </w:rPr>
      </w:pPr>
    </w:p>
    <w:p w14:paraId="363E60BB" w14:textId="77777777" w:rsidR="009B0333" w:rsidRPr="009B0333" w:rsidRDefault="009B0333" w:rsidP="009B0333">
      <w:pPr>
        <w:rPr>
          <w:rFonts w:ascii="Arial" w:hAnsi="Arial" w:cs="Arial"/>
          <w:sz w:val="24"/>
          <w:szCs w:val="24"/>
        </w:rPr>
      </w:pPr>
    </w:p>
    <w:p w14:paraId="4C9B1040" w14:textId="77777777" w:rsidR="009B0333" w:rsidRPr="009B0333" w:rsidRDefault="009B0333" w:rsidP="009B0333">
      <w:pPr>
        <w:rPr>
          <w:rFonts w:ascii="Arial" w:hAnsi="Arial" w:cs="Arial"/>
          <w:sz w:val="24"/>
          <w:szCs w:val="24"/>
        </w:rPr>
      </w:pPr>
    </w:p>
    <w:p w14:paraId="5778C1EE" w14:textId="77777777" w:rsidR="009B0333" w:rsidRPr="009B0333" w:rsidRDefault="009B0333" w:rsidP="009B0333">
      <w:pPr>
        <w:rPr>
          <w:rFonts w:ascii="Arial" w:hAnsi="Arial" w:cs="Arial"/>
          <w:sz w:val="24"/>
          <w:szCs w:val="24"/>
        </w:rPr>
      </w:pPr>
    </w:p>
    <w:p w14:paraId="06E12781" w14:textId="77777777" w:rsidR="009B0333" w:rsidRPr="009B0333" w:rsidRDefault="009B0333" w:rsidP="009B0333">
      <w:pPr>
        <w:rPr>
          <w:rFonts w:ascii="Arial" w:hAnsi="Arial" w:cs="Arial"/>
          <w:sz w:val="24"/>
          <w:szCs w:val="24"/>
        </w:rPr>
      </w:pPr>
    </w:p>
    <w:p w14:paraId="71769727" w14:textId="77777777" w:rsidR="009B0333" w:rsidRPr="009B0333" w:rsidRDefault="009B0333" w:rsidP="009B0333">
      <w:pPr>
        <w:rPr>
          <w:rFonts w:ascii="Arial" w:hAnsi="Arial" w:cs="Arial"/>
          <w:sz w:val="24"/>
          <w:szCs w:val="24"/>
        </w:rPr>
      </w:pPr>
    </w:p>
    <w:p w14:paraId="082B25D1" w14:textId="77777777" w:rsidR="009B0333" w:rsidRPr="009B0333" w:rsidRDefault="009B0333" w:rsidP="009B0333">
      <w:pPr>
        <w:rPr>
          <w:rFonts w:ascii="Arial" w:hAnsi="Arial" w:cs="Arial"/>
          <w:sz w:val="24"/>
          <w:szCs w:val="24"/>
        </w:rPr>
      </w:pPr>
    </w:p>
    <w:p w14:paraId="61962443" w14:textId="77777777" w:rsidR="009B0333" w:rsidRPr="009B0333" w:rsidRDefault="009B0333" w:rsidP="009B0333">
      <w:pPr>
        <w:rPr>
          <w:rFonts w:ascii="Arial" w:hAnsi="Arial" w:cs="Arial"/>
          <w:sz w:val="24"/>
          <w:szCs w:val="24"/>
        </w:rPr>
      </w:pPr>
    </w:p>
    <w:p w14:paraId="2D5C3B3E" w14:textId="47FEF0DD" w:rsidR="009B0333" w:rsidRPr="009B0333" w:rsidRDefault="009B0333" w:rsidP="009B0333">
      <w:pPr>
        <w:tabs>
          <w:tab w:val="left" w:pos="990"/>
        </w:tabs>
        <w:rPr>
          <w:rFonts w:ascii="Arial" w:hAnsi="Arial" w:cs="Arial"/>
          <w:sz w:val="24"/>
          <w:szCs w:val="24"/>
        </w:rPr>
      </w:pPr>
      <w:r>
        <w:rPr>
          <w:rFonts w:ascii="Arial" w:hAnsi="Arial" w:cs="Arial"/>
          <w:sz w:val="24"/>
          <w:szCs w:val="24"/>
        </w:rPr>
        <w:tab/>
      </w:r>
    </w:p>
    <w:p w14:paraId="75FB6281" w14:textId="77777777" w:rsidR="009B0333" w:rsidRDefault="009B0333" w:rsidP="009B0333">
      <w:pPr>
        <w:rPr>
          <w:rFonts w:ascii="Arial" w:hAnsi="Arial" w:cs="Arial"/>
          <w:sz w:val="24"/>
          <w:szCs w:val="24"/>
        </w:rPr>
      </w:pPr>
    </w:p>
    <w:p w14:paraId="567824ED" w14:textId="77777777" w:rsidR="009B0333" w:rsidRPr="009B0333" w:rsidRDefault="009B0333" w:rsidP="009B0333">
      <w:pPr>
        <w:rPr>
          <w:rFonts w:ascii="Arial" w:hAnsi="Arial" w:cs="Arial"/>
          <w:sz w:val="24"/>
          <w:szCs w:val="24"/>
        </w:rPr>
        <w:sectPr w:rsidR="009B0333" w:rsidRPr="009B0333" w:rsidSect="005C65CB">
          <w:headerReference w:type="default" r:id="rId11"/>
          <w:pgSz w:w="11910" w:h="16840"/>
          <w:pgMar w:top="1360" w:right="1680" w:bottom="1200" w:left="1680" w:header="0" w:footer="1004" w:gutter="0"/>
          <w:cols w:space="720"/>
        </w:sectPr>
      </w:pPr>
    </w:p>
    <w:p w14:paraId="6CCBAD30" w14:textId="77777777" w:rsidR="000A0485" w:rsidRDefault="000A0485" w:rsidP="00B24E4D">
      <w:pPr>
        <w:rPr>
          <w:rFonts w:ascii="Arial" w:hAnsi="Arial" w:cs="Arial"/>
          <w:sz w:val="24"/>
          <w:szCs w:val="24"/>
        </w:rPr>
      </w:pPr>
    </w:p>
    <w:p w14:paraId="0DD87B2A" w14:textId="77777777" w:rsidR="000A0485" w:rsidRPr="00F277BD" w:rsidRDefault="000A0485" w:rsidP="000A0485">
      <w:pPr>
        <w:rPr>
          <w:rFonts w:ascii="Arial" w:hAnsi="Arial" w:cs="Arial"/>
          <w:b/>
          <w:sz w:val="32"/>
          <w:szCs w:val="32"/>
        </w:rPr>
      </w:pPr>
      <w:r>
        <w:rPr>
          <w:noProof/>
        </w:rPr>
        <w:drawing>
          <wp:anchor distT="0" distB="0" distL="114300" distR="114300" simplePos="0" relativeHeight="251656192" behindDoc="0" locked="0" layoutInCell="1" allowOverlap="1" wp14:anchorId="22BD2B5F" wp14:editId="4E35A23E">
            <wp:simplePos x="0" y="0"/>
            <wp:positionH relativeFrom="column">
              <wp:posOffset>4692650</wp:posOffset>
            </wp:positionH>
            <wp:positionV relativeFrom="paragraph">
              <wp:posOffset>-59055</wp:posOffset>
            </wp:positionV>
            <wp:extent cx="1280787" cy="831273"/>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787" cy="831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9AA70" w14:textId="77777777" w:rsidR="000A0485" w:rsidRPr="00F277BD" w:rsidRDefault="000A0485" w:rsidP="000A0485">
      <w:pPr>
        <w:rPr>
          <w:rFonts w:ascii="Arial" w:hAnsi="Arial" w:cs="Arial"/>
          <w:b/>
          <w:sz w:val="32"/>
          <w:szCs w:val="32"/>
        </w:rPr>
      </w:pPr>
      <w:r w:rsidRPr="00F277BD">
        <w:rPr>
          <w:rFonts w:ascii="Arial" w:hAnsi="Arial" w:cs="Arial"/>
          <w:b/>
          <w:sz w:val="32"/>
          <w:szCs w:val="32"/>
        </w:rPr>
        <w:t>Kent County Council</w:t>
      </w:r>
    </w:p>
    <w:p w14:paraId="390C5CA9" w14:textId="77777777" w:rsidR="000A0485" w:rsidRPr="00F277BD" w:rsidRDefault="000A0485" w:rsidP="000A0485">
      <w:pPr>
        <w:rPr>
          <w:rFonts w:ascii="Arial" w:hAnsi="Arial" w:cs="Arial"/>
          <w:b/>
          <w:color w:val="0070C0"/>
          <w:sz w:val="48"/>
          <w:szCs w:val="48"/>
        </w:rPr>
      </w:pPr>
      <w:r>
        <w:rPr>
          <w:rFonts w:ascii="Arial" w:hAnsi="Arial" w:cs="Arial"/>
          <w:b/>
          <w:color w:val="0070C0"/>
          <w:sz w:val="48"/>
          <w:szCs w:val="48"/>
        </w:rPr>
        <w:t>Step Across to Fostering</w:t>
      </w:r>
    </w:p>
    <w:p w14:paraId="2A4B8E4C" w14:textId="77777777" w:rsidR="000A0485" w:rsidRPr="00F277BD" w:rsidRDefault="000A0485" w:rsidP="000A0485">
      <w:pPr>
        <w:rPr>
          <w:rFonts w:ascii="Arial" w:hAnsi="Arial" w:cs="Arial"/>
          <w:b/>
          <w:sz w:val="32"/>
          <w:szCs w:val="32"/>
        </w:rPr>
      </w:pPr>
      <w:r>
        <w:rPr>
          <w:rFonts w:ascii="Arial" w:hAnsi="Arial" w:cs="Arial"/>
          <w:b/>
          <w:sz w:val="32"/>
          <w:szCs w:val="32"/>
        </w:rPr>
        <w:t>Kent Fostering Service</w:t>
      </w:r>
    </w:p>
    <w:p w14:paraId="2F9EB75A" w14:textId="77777777" w:rsidR="000A0485" w:rsidRPr="00F277BD" w:rsidRDefault="000A0485" w:rsidP="000A0485">
      <w:pPr>
        <w:rPr>
          <w:rFonts w:ascii="Arial" w:hAnsi="Arial" w:cs="Arial"/>
          <w:b/>
          <w:sz w:val="32"/>
          <w:szCs w:val="32"/>
        </w:rPr>
      </w:pPr>
    </w:p>
    <w:p w14:paraId="76ECC4F1" w14:textId="77777777" w:rsidR="000A0485" w:rsidRDefault="000A0485" w:rsidP="000A0485">
      <w:pPr>
        <w:rPr>
          <w:b/>
          <w:sz w:val="32"/>
          <w:szCs w:val="32"/>
        </w:rPr>
      </w:pPr>
      <w:r>
        <w:rPr>
          <w:noProof/>
        </w:rPr>
        <w:drawing>
          <wp:anchor distT="0" distB="0" distL="114300" distR="114300" simplePos="0" relativeHeight="251658240" behindDoc="0" locked="0" layoutInCell="1" allowOverlap="1" wp14:anchorId="7A9E1058" wp14:editId="1CE5E86C">
            <wp:simplePos x="0" y="0"/>
            <wp:positionH relativeFrom="column">
              <wp:posOffset>0</wp:posOffset>
            </wp:positionH>
            <wp:positionV relativeFrom="paragraph">
              <wp:posOffset>468086</wp:posOffset>
            </wp:positionV>
            <wp:extent cx="5731510" cy="3822065"/>
            <wp:effectExtent l="0" t="0" r="2540" b="6985"/>
            <wp:wrapSquare wrapText="bothSides"/>
            <wp:docPr id="1483235068" name="Picture 148323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anchor>
        </w:drawing>
      </w:r>
    </w:p>
    <w:p w14:paraId="744C5C2A" w14:textId="77777777" w:rsidR="000A0485" w:rsidRDefault="000A0485" w:rsidP="000A0485">
      <w:pPr>
        <w:rPr>
          <w:b/>
          <w:sz w:val="32"/>
          <w:szCs w:val="32"/>
        </w:rPr>
      </w:pPr>
    </w:p>
    <w:p w14:paraId="3078B8F6" w14:textId="77777777" w:rsidR="000A0485" w:rsidRDefault="000A0485" w:rsidP="000A0485">
      <w:pPr>
        <w:rPr>
          <w:b/>
          <w:sz w:val="32"/>
          <w:szCs w:val="32"/>
        </w:rPr>
      </w:pPr>
    </w:p>
    <w:p w14:paraId="225C7908" w14:textId="77777777" w:rsidR="000A0485" w:rsidRDefault="000A0485" w:rsidP="000A0485">
      <w:pPr>
        <w:spacing w:after="0" w:line="200" w:lineRule="exact"/>
        <w:rPr>
          <w:sz w:val="20"/>
          <w:szCs w:val="20"/>
        </w:rPr>
      </w:pPr>
    </w:p>
    <w:p w14:paraId="509BDC35" w14:textId="77777777" w:rsidR="000A0485" w:rsidRDefault="000A0485" w:rsidP="000A0485">
      <w:pPr>
        <w:spacing w:after="0" w:line="200" w:lineRule="exact"/>
        <w:rPr>
          <w:sz w:val="20"/>
          <w:szCs w:val="20"/>
        </w:rPr>
      </w:pPr>
    </w:p>
    <w:p w14:paraId="065BAEDB" w14:textId="77777777" w:rsidR="000A0485" w:rsidRDefault="000A0485" w:rsidP="000A0485">
      <w:pPr>
        <w:spacing w:after="0" w:line="200" w:lineRule="exact"/>
        <w:rPr>
          <w:sz w:val="20"/>
          <w:szCs w:val="20"/>
        </w:rPr>
      </w:pPr>
    </w:p>
    <w:tbl>
      <w:tblPr>
        <w:tblStyle w:val="TableGrid"/>
        <w:tblW w:w="0" w:type="auto"/>
        <w:tblLook w:val="04A0" w:firstRow="1" w:lastRow="0" w:firstColumn="1" w:lastColumn="0" w:noHBand="0" w:noVBand="1"/>
      </w:tblPr>
      <w:tblGrid>
        <w:gridCol w:w="2037"/>
        <w:gridCol w:w="6729"/>
      </w:tblGrid>
      <w:tr w:rsidR="000A0485" w14:paraId="3B0018C4" w14:textId="77777777" w:rsidTr="004E4931">
        <w:tc>
          <w:tcPr>
            <w:tcW w:w="2093" w:type="dxa"/>
            <w:tcBorders>
              <w:top w:val="single" w:sz="4" w:space="0" w:color="auto"/>
              <w:left w:val="single" w:sz="4" w:space="0" w:color="auto"/>
              <w:bottom w:val="single" w:sz="4" w:space="0" w:color="auto"/>
              <w:right w:val="single" w:sz="4" w:space="0" w:color="auto"/>
            </w:tcBorders>
          </w:tcPr>
          <w:p w14:paraId="064FB39F" w14:textId="77777777" w:rsidR="000A0485" w:rsidRDefault="000A0485" w:rsidP="004E4931">
            <w:pPr>
              <w:rPr>
                <w:rFonts w:ascii="Arial" w:hAnsi="Arial" w:cs="Arial"/>
                <w:sz w:val="24"/>
                <w:szCs w:val="24"/>
              </w:rPr>
            </w:pPr>
            <w:r>
              <w:rPr>
                <w:rFonts w:ascii="Arial" w:hAnsi="Arial" w:cs="Arial"/>
                <w:sz w:val="24"/>
                <w:szCs w:val="24"/>
              </w:rPr>
              <w:t xml:space="preserve">Document Owner </w:t>
            </w:r>
          </w:p>
        </w:tc>
        <w:tc>
          <w:tcPr>
            <w:tcW w:w="7149" w:type="dxa"/>
            <w:tcBorders>
              <w:top w:val="single" w:sz="4" w:space="0" w:color="auto"/>
              <w:left w:val="single" w:sz="4" w:space="0" w:color="auto"/>
              <w:bottom w:val="single" w:sz="4" w:space="0" w:color="auto"/>
              <w:right w:val="single" w:sz="4" w:space="0" w:color="auto"/>
            </w:tcBorders>
          </w:tcPr>
          <w:p w14:paraId="3AAA86BF" w14:textId="77777777" w:rsidR="000A0485" w:rsidRDefault="000A0485" w:rsidP="004E4931">
            <w:pPr>
              <w:rPr>
                <w:rFonts w:ascii="Arial" w:hAnsi="Arial" w:cs="Arial"/>
                <w:sz w:val="24"/>
                <w:szCs w:val="24"/>
              </w:rPr>
            </w:pPr>
            <w:r>
              <w:rPr>
                <w:rFonts w:ascii="Arial" w:hAnsi="Arial" w:cs="Arial"/>
                <w:sz w:val="24"/>
                <w:szCs w:val="24"/>
              </w:rPr>
              <w:t>Maria Cordrey &amp; Mark Vening, Heads of Fostering</w:t>
            </w:r>
          </w:p>
        </w:tc>
      </w:tr>
      <w:tr w:rsidR="000A0485" w14:paraId="2C18D89A" w14:textId="77777777" w:rsidTr="004E4931">
        <w:tc>
          <w:tcPr>
            <w:tcW w:w="2093" w:type="dxa"/>
            <w:tcBorders>
              <w:top w:val="single" w:sz="4" w:space="0" w:color="auto"/>
              <w:left w:val="single" w:sz="4" w:space="0" w:color="auto"/>
              <w:bottom w:val="single" w:sz="4" w:space="0" w:color="auto"/>
              <w:right w:val="single" w:sz="4" w:space="0" w:color="auto"/>
            </w:tcBorders>
            <w:hideMark/>
          </w:tcPr>
          <w:p w14:paraId="0DC2E6B5" w14:textId="77777777" w:rsidR="000A0485" w:rsidRDefault="000A0485" w:rsidP="004E4931">
            <w:pPr>
              <w:rPr>
                <w:rFonts w:ascii="Arial" w:hAnsi="Arial" w:cs="Arial"/>
                <w:sz w:val="24"/>
                <w:szCs w:val="24"/>
              </w:rPr>
            </w:pPr>
            <w:r>
              <w:rPr>
                <w:rFonts w:ascii="Arial" w:hAnsi="Arial" w:cs="Arial"/>
                <w:sz w:val="24"/>
                <w:szCs w:val="24"/>
              </w:rPr>
              <w:t>Version 2</w:t>
            </w:r>
          </w:p>
        </w:tc>
        <w:tc>
          <w:tcPr>
            <w:tcW w:w="7149" w:type="dxa"/>
            <w:tcBorders>
              <w:top w:val="single" w:sz="4" w:space="0" w:color="auto"/>
              <w:left w:val="single" w:sz="4" w:space="0" w:color="auto"/>
              <w:bottom w:val="single" w:sz="4" w:space="0" w:color="auto"/>
              <w:right w:val="single" w:sz="4" w:space="0" w:color="auto"/>
            </w:tcBorders>
            <w:hideMark/>
          </w:tcPr>
          <w:p w14:paraId="09195685" w14:textId="77777777" w:rsidR="000A0485" w:rsidRDefault="000A0485" w:rsidP="004E4931">
            <w:pPr>
              <w:rPr>
                <w:rFonts w:ascii="Arial" w:hAnsi="Arial" w:cs="Arial"/>
                <w:sz w:val="24"/>
                <w:szCs w:val="24"/>
              </w:rPr>
            </w:pPr>
            <w:r>
              <w:rPr>
                <w:rFonts w:ascii="Arial" w:hAnsi="Arial" w:cs="Arial"/>
                <w:sz w:val="24"/>
                <w:szCs w:val="24"/>
              </w:rPr>
              <w:t>January 2024</w:t>
            </w:r>
          </w:p>
        </w:tc>
      </w:tr>
      <w:tr w:rsidR="000A0485" w14:paraId="5D331F19" w14:textId="77777777" w:rsidTr="004E4931">
        <w:tc>
          <w:tcPr>
            <w:tcW w:w="2093" w:type="dxa"/>
            <w:tcBorders>
              <w:top w:val="single" w:sz="4" w:space="0" w:color="auto"/>
              <w:left w:val="single" w:sz="4" w:space="0" w:color="auto"/>
              <w:bottom w:val="single" w:sz="4" w:space="0" w:color="auto"/>
              <w:right w:val="single" w:sz="4" w:space="0" w:color="auto"/>
            </w:tcBorders>
          </w:tcPr>
          <w:p w14:paraId="503A4CD5" w14:textId="77777777" w:rsidR="000A0485" w:rsidRDefault="000A0485" w:rsidP="004E4931">
            <w:pPr>
              <w:rPr>
                <w:rFonts w:ascii="Arial" w:hAnsi="Arial" w:cs="Arial"/>
                <w:sz w:val="24"/>
                <w:szCs w:val="24"/>
              </w:rPr>
            </w:pPr>
            <w:r>
              <w:rPr>
                <w:rFonts w:ascii="Arial" w:hAnsi="Arial" w:cs="Arial"/>
                <w:sz w:val="24"/>
                <w:szCs w:val="24"/>
              </w:rPr>
              <w:t>Review Date</w:t>
            </w:r>
          </w:p>
        </w:tc>
        <w:tc>
          <w:tcPr>
            <w:tcW w:w="7149" w:type="dxa"/>
            <w:tcBorders>
              <w:top w:val="single" w:sz="4" w:space="0" w:color="auto"/>
              <w:left w:val="single" w:sz="4" w:space="0" w:color="auto"/>
              <w:bottom w:val="single" w:sz="4" w:space="0" w:color="auto"/>
              <w:right w:val="single" w:sz="4" w:space="0" w:color="auto"/>
            </w:tcBorders>
          </w:tcPr>
          <w:p w14:paraId="67A26CC1" w14:textId="77777777" w:rsidR="000A0485" w:rsidRDefault="000A0485" w:rsidP="004E4931">
            <w:pPr>
              <w:rPr>
                <w:rFonts w:ascii="Arial" w:hAnsi="Arial" w:cs="Arial"/>
                <w:sz w:val="24"/>
                <w:szCs w:val="24"/>
              </w:rPr>
            </w:pPr>
            <w:r>
              <w:rPr>
                <w:rFonts w:ascii="Arial" w:hAnsi="Arial" w:cs="Arial"/>
                <w:sz w:val="24"/>
                <w:szCs w:val="24"/>
              </w:rPr>
              <w:t>January 2025</w:t>
            </w:r>
          </w:p>
        </w:tc>
      </w:tr>
    </w:tbl>
    <w:p w14:paraId="0D3CED02" w14:textId="77777777" w:rsidR="000A0485" w:rsidRDefault="000A0485" w:rsidP="000A0485">
      <w:pPr>
        <w:rPr>
          <w:rFonts w:ascii="Arial" w:eastAsia="Times New Roman" w:hAnsi="Arial" w:cs="Arial"/>
          <w:sz w:val="24"/>
          <w:szCs w:val="24"/>
          <w:lang w:eastAsia="en-GB"/>
        </w:rPr>
      </w:pPr>
    </w:p>
    <w:p w14:paraId="10C4C43F" w14:textId="77777777" w:rsidR="000A0485" w:rsidRDefault="000A0485" w:rsidP="000A0485">
      <w:pPr>
        <w:pStyle w:val="Arielheadder"/>
      </w:pPr>
      <w:r>
        <w:t>Introduction</w:t>
      </w:r>
    </w:p>
    <w:p w14:paraId="67A95583" w14:textId="77777777" w:rsidR="000A0485" w:rsidRDefault="000A0485" w:rsidP="000A0485">
      <w:pPr>
        <w:pStyle w:val="NormalWeb"/>
        <w:jc w:val="both"/>
        <w:rPr>
          <w:rFonts w:ascii="Arial" w:hAnsi="Arial" w:cs="Arial"/>
        </w:rPr>
      </w:pPr>
      <w:r>
        <w:rPr>
          <w:rFonts w:ascii="Arial" w:hAnsi="Arial" w:cs="Arial"/>
        </w:rPr>
        <w:t>A small number of our children and young people in care, are placed within a residential children’s home due to the complexity of their needs during a specific period in their childhood. For some, past adverse trauma and their family experiences may lead to poor emotional and</w:t>
      </w:r>
      <w:r w:rsidRPr="003135EE">
        <w:rPr>
          <w:rFonts w:ascii="Arial" w:hAnsi="Arial" w:cs="Arial"/>
        </w:rPr>
        <w:t xml:space="preserve"> mental health </w:t>
      </w:r>
      <w:r>
        <w:rPr>
          <w:rFonts w:ascii="Arial" w:hAnsi="Arial" w:cs="Arial"/>
        </w:rPr>
        <w:t xml:space="preserve">expressed through their behaviour. They are often highly vulnerable children who may exhibit behaviours that carers will require additional support with, such as placing themselves or others at risk. Our ethos is that wherever possible and if it is safe to do so, children should be cared for within a family environment. Therapeutic care provided by the residential setting, should form the basis of a care plan that works towards preparing the child to transition to a family home. Once a child is ready to be cared for within a family and all options for a kinship carer have been explored, then a referral will be made for an in house foster carer. In Kent we call this </w:t>
      </w:r>
      <w:r w:rsidRPr="00BB2792">
        <w:rPr>
          <w:rFonts w:ascii="Arial" w:hAnsi="Arial" w:cs="Arial"/>
          <w:b/>
          <w:bCs/>
        </w:rPr>
        <w:t>Step Across to Fostering</w:t>
      </w:r>
      <w:r>
        <w:rPr>
          <w:rFonts w:ascii="Arial" w:hAnsi="Arial" w:cs="Arial"/>
        </w:rPr>
        <w:t xml:space="preserve">. </w:t>
      </w:r>
    </w:p>
    <w:p w14:paraId="66427E5F" w14:textId="77777777" w:rsidR="000A0485" w:rsidRPr="00C2753E" w:rsidRDefault="000A0485" w:rsidP="000A0485">
      <w:pPr>
        <w:pStyle w:val="NormalWeb"/>
        <w:spacing w:line="276" w:lineRule="auto"/>
        <w:rPr>
          <w:rFonts w:ascii="Arial" w:hAnsi="Arial" w:cs="Arial"/>
          <w:b/>
          <w:bCs/>
          <w:color w:val="2E74B5" w:themeColor="accent5" w:themeShade="BF"/>
        </w:rPr>
      </w:pPr>
      <w:r w:rsidRPr="00C2753E">
        <w:rPr>
          <w:rFonts w:ascii="Arial" w:hAnsi="Arial" w:cs="Arial"/>
          <w:b/>
          <w:bCs/>
          <w:color w:val="2E74B5" w:themeColor="accent5" w:themeShade="BF"/>
        </w:rPr>
        <w:t>Eligibility</w:t>
      </w:r>
    </w:p>
    <w:p w14:paraId="1FF6DF0D" w14:textId="77777777" w:rsidR="000A0485" w:rsidRDefault="000A0485" w:rsidP="000A0485">
      <w:pPr>
        <w:pStyle w:val="NormalWeb"/>
        <w:rPr>
          <w:rFonts w:ascii="Arial" w:hAnsi="Arial" w:cs="Arial"/>
          <w:color w:val="000000" w:themeColor="text1"/>
        </w:rPr>
      </w:pPr>
      <w:r w:rsidRPr="00A45547">
        <w:rPr>
          <w:rFonts w:ascii="Arial" w:hAnsi="Arial" w:cs="Arial"/>
          <w:color w:val="000000" w:themeColor="text1"/>
        </w:rPr>
        <w:t xml:space="preserve">The </w:t>
      </w:r>
      <w:r>
        <w:rPr>
          <w:rFonts w:ascii="Arial" w:hAnsi="Arial" w:cs="Arial"/>
          <w:color w:val="000000" w:themeColor="text1"/>
        </w:rPr>
        <w:t xml:space="preserve">child </w:t>
      </w:r>
      <w:r w:rsidRPr="00A45547">
        <w:rPr>
          <w:rFonts w:ascii="Arial" w:hAnsi="Arial" w:cs="Arial"/>
          <w:color w:val="000000" w:themeColor="text1"/>
        </w:rPr>
        <w:t xml:space="preserve">must be </w:t>
      </w:r>
      <w:r>
        <w:rPr>
          <w:rFonts w:ascii="Arial" w:hAnsi="Arial" w:cs="Arial"/>
          <w:color w:val="000000" w:themeColor="text1"/>
        </w:rPr>
        <w:t xml:space="preserve">under the age of 16 with agreement from the professional network that their needs can be met safely within a family home. There must be an updated detailed referral and positive profile completed for the child. For young people over the age of 16, that continue to have care needs that need to be met within a family, a referral will be made for a Kent Supported Homes host. </w:t>
      </w:r>
    </w:p>
    <w:p w14:paraId="5CD7B5B6" w14:textId="77777777" w:rsidR="000A0485" w:rsidRDefault="000A0485" w:rsidP="000A0485">
      <w:pPr>
        <w:pStyle w:val="Arielheadder"/>
      </w:pPr>
      <w:bookmarkStart w:id="2" w:name="_Hlk153811733"/>
      <w:r>
        <w:t>Care and Support Plan</w:t>
      </w:r>
    </w:p>
    <w:bookmarkEnd w:id="2"/>
    <w:p w14:paraId="5A62E59A" w14:textId="77777777" w:rsidR="000A0485" w:rsidRDefault="000A0485" w:rsidP="000A0485">
      <w:pPr>
        <w:pStyle w:val="NormalWeb"/>
        <w:jc w:val="both"/>
        <w:rPr>
          <w:rFonts w:ascii="Arial" w:hAnsi="Arial" w:cs="Arial"/>
        </w:rPr>
      </w:pPr>
      <w:r>
        <w:rPr>
          <w:rFonts w:ascii="Arial" w:hAnsi="Arial" w:cs="Arial"/>
        </w:rPr>
        <w:t>Carers will need to be resilient, patient and child centred but above all, will need to understand the importance of stability and permanence and be willing to stick with the child, to achieve this. We recognise that the transition for these children and the families who care for them is important if the long-term ambition of a permanent family home is to be achieved. The suggested stages for a 4-6 week transition plan and elements of the support that will need to be available are:</w:t>
      </w:r>
    </w:p>
    <w:p w14:paraId="1F0F20A9" w14:textId="77777777" w:rsidR="000A0485" w:rsidRDefault="000A0485" w:rsidP="000A0485">
      <w:pPr>
        <w:pStyle w:val="NormalWeb"/>
        <w:jc w:val="both"/>
        <w:rPr>
          <w:rFonts w:ascii="Arial" w:hAnsi="Arial" w:cs="Arial"/>
        </w:rPr>
      </w:pPr>
      <w:r w:rsidRPr="00D35943">
        <w:rPr>
          <w:rFonts w:ascii="Arial" w:hAnsi="Arial" w:cs="Arial"/>
          <w:b/>
          <w:bCs/>
        </w:rPr>
        <w:t>Matching</w:t>
      </w:r>
      <w:r>
        <w:rPr>
          <w:rFonts w:ascii="Arial" w:hAnsi="Arial" w:cs="Arial"/>
        </w:rPr>
        <w:t xml:space="preserve">: Effective matching is crucial.  This will be initiated through the sharing of a comprehensive referral and a positive profile of the child.  This will be followed by discussion with those in the professional network to obtain a wide range of information before proceeding with the match. A profile of the foster family must be shared with the child/young person as part of the transition planning. </w:t>
      </w:r>
    </w:p>
    <w:p w14:paraId="2264B376" w14:textId="77777777" w:rsidR="000A0485" w:rsidRDefault="000A0485" w:rsidP="000A0485">
      <w:pPr>
        <w:pStyle w:val="NormalWeb"/>
        <w:jc w:val="both"/>
        <w:rPr>
          <w:rFonts w:ascii="Arial" w:hAnsi="Arial" w:cs="Arial"/>
        </w:rPr>
      </w:pPr>
      <w:r>
        <w:rPr>
          <w:rFonts w:ascii="Arial" w:hAnsi="Arial" w:cs="Arial"/>
          <w:b/>
          <w:bCs/>
        </w:rPr>
        <w:t xml:space="preserve">Joint Planning </w:t>
      </w:r>
      <w:r w:rsidRPr="00D35943">
        <w:rPr>
          <w:rFonts w:ascii="Arial" w:hAnsi="Arial" w:cs="Arial"/>
          <w:b/>
          <w:bCs/>
        </w:rPr>
        <w:t>with the residential setting</w:t>
      </w:r>
      <w:r>
        <w:rPr>
          <w:rFonts w:ascii="Arial" w:hAnsi="Arial" w:cs="Arial"/>
        </w:rPr>
        <w:t>: This will include discussion and observation of the child prior to proceeding with meeting the child and staff. The foster carer will be able to observe the child’s relationships with both staff and other children. This will support the carer to understand routines, sharing of behavioural management techniques, getting to know the child’s triggers to behaviours, what makes them happy, sad, angry, what they like to eat etc.  This will require an ability by the foster carer to travel to the residential setting</w:t>
      </w:r>
      <w:r>
        <w:rPr>
          <w:rStyle w:val="FootnoteReference"/>
          <w:rFonts w:ascii="Arial" w:hAnsi="Arial" w:cs="Arial"/>
        </w:rPr>
        <w:footnoteReference w:id="1"/>
      </w:r>
      <w:r>
        <w:rPr>
          <w:rFonts w:ascii="Arial" w:hAnsi="Arial" w:cs="Arial"/>
        </w:rPr>
        <w:t>.</w:t>
      </w:r>
    </w:p>
    <w:p w14:paraId="5FA4B298" w14:textId="77777777" w:rsidR="000A0485" w:rsidRDefault="000A0485" w:rsidP="000A0485">
      <w:pPr>
        <w:pStyle w:val="NormalWeb"/>
        <w:jc w:val="both"/>
        <w:rPr>
          <w:rFonts w:ascii="Arial" w:hAnsi="Arial" w:cs="Arial"/>
        </w:rPr>
      </w:pPr>
      <w:r w:rsidRPr="00D35943">
        <w:rPr>
          <w:rFonts w:ascii="Arial" w:hAnsi="Arial" w:cs="Arial"/>
          <w:b/>
          <w:bCs/>
        </w:rPr>
        <w:t>Planned move</w:t>
      </w:r>
      <w:r>
        <w:rPr>
          <w:rFonts w:ascii="Arial" w:hAnsi="Arial" w:cs="Arial"/>
        </w:rPr>
        <w:t>:  It is anticipated that there will be several visits to and from the child prior to the child moving home.  This may include overnight visits and possibly contact with the child and their birth family or those that they have significant relationships with.  The liaison between the residential staff and the carer(s) will enable a positive ending, to lead on to a new beginning and maximise stability going forward.</w:t>
      </w:r>
    </w:p>
    <w:p w14:paraId="4C645805" w14:textId="77777777" w:rsidR="000A0485" w:rsidRDefault="000A0485" w:rsidP="000A0485">
      <w:pPr>
        <w:pStyle w:val="NormalWeb"/>
        <w:jc w:val="both"/>
        <w:rPr>
          <w:rFonts w:ascii="Arial" w:hAnsi="Arial" w:cs="Arial"/>
        </w:rPr>
      </w:pPr>
      <w:r w:rsidRPr="00D35943">
        <w:rPr>
          <w:rFonts w:ascii="Arial" w:hAnsi="Arial" w:cs="Arial"/>
          <w:b/>
          <w:bCs/>
        </w:rPr>
        <w:t>Fee</w:t>
      </w:r>
      <w:r>
        <w:rPr>
          <w:rFonts w:ascii="Arial" w:hAnsi="Arial" w:cs="Arial"/>
        </w:rPr>
        <w:t>:  T</w:t>
      </w:r>
      <w:r w:rsidRPr="00490B09">
        <w:rPr>
          <w:rFonts w:ascii="Arial" w:hAnsi="Arial" w:cs="Arial"/>
        </w:rPr>
        <w:t>he carer will be paid a retainer payment equivalent to the higher-</w:t>
      </w:r>
      <w:r>
        <w:rPr>
          <w:rFonts w:ascii="Arial" w:hAnsi="Arial" w:cs="Arial"/>
        </w:rPr>
        <w:t>rate</w:t>
      </w:r>
      <w:r w:rsidRPr="00490B09">
        <w:rPr>
          <w:rFonts w:ascii="Arial" w:hAnsi="Arial" w:cs="Arial"/>
        </w:rPr>
        <w:t xml:space="preserve"> reward </w:t>
      </w:r>
      <w:r>
        <w:rPr>
          <w:rFonts w:ascii="Arial" w:hAnsi="Arial" w:cs="Arial"/>
        </w:rPr>
        <w:t>payment</w:t>
      </w:r>
      <w:r w:rsidRPr="00490B09">
        <w:rPr>
          <w:rFonts w:ascii="Arial" w:hAnsi="Arial" w:cs="Arial"/>
        </w:rPr>
        <w:t xml:space="preserve"> </w:t>
      </w:r>
      <w:r>
        <w:rPr>
          <w:rFonts w:ascii="Arial" w:hAnsi="Arial" w:cs="Arial"/>
        </w:rPr>
        <w:t xml:space="preserve">once the match is confirmed.  </w:t>
      </w:r>
      <w:r w:rsidRPr="00490B09">
        <w:rPr>
          <w:rFonts w:ascii="Arial" w:hAnsi="Arial" w:cs="Arial"/>
        </w:rPr>
        <w:t xml:space="preserve">If the carer has any vacant beds </w:t>
      </w:r>
      <w:r>
        <w:rPr>
          <w:rFonts w:ascii="Arial" w:hAnsi="Arial" w:cs="Arial"/>
        </w:rPr>
        <w:t xml:space="preserve">once the child </w:t>
      </w:r>
      <w:r w:rsidRPr="00490B09">
        <w:rPr>
          <w:rFonts w:ascii="Arial" w:hAnsi="Arial" w:cs="Arial"/>
        </w:rPr>
        <w:t>is placed</w:t>
      </w:r>
      <w:r>
        <w:rPr>
          <w:rFonts w:ascii="Arial" w:hAnsi="Arial" w:cs="Arial"/>
        </w:rPr>
        <w:t xml:space="preserve">, the higher-level rate </w:t>
      </w:r>
      <w:r w:rsidRPr="00490B09">
        <w:rPr>
          <w:rFonts w:ascii="Arial" w:hAnsi="Arial" w:cs="Arial"/>
        </w:rPr>
        <w:t>retainer payment will be made for one bed only for a four-week period</w:t>
      </w:r>
      <w:r>
        <w:rPr>
          <w:rFonts w:ascii="Arial" w:hAnsi="Arial" w:cs="Arial"/>
        </w:rPr>
        <w:t xml:space="preserve"> to </w:t>
      </w:r>
      <w:r w:rsidRPr="00490B09">
        <w:rPr>
          <w:rFonts w:ascii="Arial" w:hAnsi="Arial" w:cs="Arial"/>
        </w:rPr>
        <w:t xml:space="preserve">help support </w:t>
      </w:r>
      <w:r>
        <w:rPr>
          <w:rFonts w:ascii="Arial" w:hAnsi="Arial" w:cs="Arial"/>
        </w:rPr>
        <w:t xml:space="preserve">the child </w:t>
      </w:r>
      <w:r w:rsidRPr="00490B09">
        <w:rPr>
          <w:rFonts w:ascii="Arial" w:hAnsi="Arial" w:cs="Arial"/>
        </w:rPr>
        <w:t>settl</w:t>
      </w:r>
      <w:r>
        <w:rPr>
          <w:rFonts w:ascii="Arial" w:hAnsi="Arial" w:cs="Arial"/>
        </w:rPr>
        <w:t>e</w:t>
      </w:r>
      <w:r w:rsidRPr="00490B09">
        <w:rPr>
          <w:rFonts w:ascii="Arial" w:hAnsi="Arial" w:cs="Arial"/>
        </w:rPr>
        <w:t xml:space="preserve"> into the home</w:t>
      </w:r>
      <w:r>
        <w:rPr>
          <w:rFonts w:ascii="Arial" w:hAnsi="Arial" w:cs="Arial"/>
        </w:rPr>
        <w:t xml:space="preserve"> and avoid another child being placed at the same time.  Mileage/travel costs</w:t>
      </w:r>
      <w:r>
        <w:rPr>
          <w:rStyle w:val="FootnoteReference"/>
          <w:rFonts w:ascii="Arial" w:hAnsi="Arial" w:cs="Arial"/>
        </w:rPr>
        <w:footnoteReference w:id="2"/>
      </w:r>
      <w:r>
        <w:rPr>
          <w:rFonts w:ascii="Arial" w:hAnsi="Arial" w:cs="Arial"/>
        </w:rPr>
        <w:t xml:space="preserve"> will be paid during the liaison with the residential setting at 45p per mile or the cost of public transport.  From the date the child moves into the home, the carer(s) will be paid the complex enhanced rate for the first 18 months.  The complex rate will then be reviewed by the area Access to Resources Panel every three months.  </w:t>
      </w:r>
    </w:p>
    <w:p w14:paraId="409199BF" w14:textId="77777777" w:rsidR="000A0485" w:rsidRPr="000F6047" w:rsidRDefault="000A0485" w:rsidP="000A0485">
      <w:pPr>
        <w:spacing w:line="240" w:lineRule="auto"/>
        <w:rPr>
          <w:rFonts w:ascii="Arial" w:hAnsi="Arial" w:cs="Arial"/>
          <w:sz w:val="24"/>
          <w:szCs w:val="24"/>
        </w:rPr>
      </w:pPr>
      <w:r w:rsidRPr="000F6047">
        <w:rPr>
          <w:rFonts w:ascii="Arial" w:hAnsi="Arial" w:cs="Arial"/>
          <w:b/>
          <w:bCs/>
          <w:sz w:val="24"/>
          <w:szCs w:val="24"/>
        </w:rPr>
        <w:t xml:space="preserve">Professional Network: </w:t>
      </w:r>
      <w:r w:rsidRPr="000F6047">
        <w:rPr>
          <w:rFonts w:ascii="Arial" w:hAnsi="Arial" w:cs="Arial"/>
          <w:sz w:val="24"/>
          <w:szCs w:val="24"/>
        </w:rPr>
        <w:t>The carer(s) will be a valued member of the professional network and will be required to work with all members of the network; Social Worker</w:t>
      </w:r>
      <w:r>
        <w:rPr>
          <w:rFonts w:ascii="Arial" w:hAnsi="Arial" w:cs="Arial"/>
          <w:sz w:val="24"/>
          <w:szCs w:val="24"/>
        </w:rPr>
        <w:t>s</w:t>
      </w:r>
      <w:r w:rsidRPr="000F6047">
        <w:rPr>
          <w:rFonts w:ascii="Arial" w:hAnsi="Arial" w:cs="Arial"/>
          <w:sz w:val="24"/>
          <w:szCs w:val="24"/>
        </w:rPr>
        <w:t xml:space="preserve">, Children’s &amp; Adolescent Mental Health services, </w:t>
      </w:r>
      <w:r>
        <w:rPr>
          <w:rFonts w:ascii="Arial" w:hAnsi="Arial" w:cs="Arial"/>
          <w:sz w:val="24"/>
          <w:szCs w:val="24"/>
        </w:rPr>
        <w:t xml:space="preserve">Independent Reviewing Officer (IRO), </w:t>
      </w:r>
      <w:r w:rsidRPr="000F6047">
        <w:rPr>
          <w:rFonts w:ascii="Arial" w:hAnsi="Arial" w:cs="Arial"/>
          <w:sz w:val="24"/>
          <w:szCs w:val="24"/>
        </w:rPr>
        <w:t xml:space="preserve">Education, Placement Stability </w:t>
      </w:r>
      <w:r>
        <w:rPr>
          <w:rFonts w:ascii="Arial" w:hAnsi="Arial" w:cs="Arial"/>
          <w:sz w:val="24"/>
          <w:szCs w:val="24"/>
        </w:rPr>
        <w:t>T</w:t>
      </w:r>
      <w:r w:rsidRPr="000F6047">
        <w:rPr>
          <w:rFonts w:ascii="Arial" w:hAnsi="Arial" w:cs="Arial"/>
          <w:sz w:val="24"/>
          <w:szCs w:val="24"/>
        </w:rPr>
        <w:t xml:space="preserve">eam, and </w:t>
      </w:r>
      <w:r>
        <w:rPr>
          <w:rFonts w:ascii="Arial" w:hAnsi="Arial" w:cs="Arial"/>
          <w:sz w:val="24"/>
          <w:szCs w:val="24"/>
        </w:rPr>
        <w:t>the Virtual School Kent (VSK)</w:t>
      </w:r>
      <w:r w:rsidRPr="000F6047">
        <w:rPr>
          <w:rFonts w:ascii="Arial" w:hAnsi="Arial" w:cs="Arial"/>
          <w:sz w:val="24"/>
          <w:szCs w:val="24"/>
        </w:rPr>
        <w:t xml:space="preserve">. </w:t>
      </w:r>
      <w:r>
        <w:rPr>
          <w:rFonts w:ascii="Arial" w:hAnsi="Arial" w:cs="Arial"/>
          <w:sz w:val="24"/>
          <w:szCs w:val="24"/>
        </w:rPr>
        <w:t xml:space="preserve">We recognise the importance of ensuring education for our children both in terms of learning, socialisation, and routine.  Where education is not in place </w:t>
      </w:r>
      <w:r w:rsidRPr="000F6047">
        <w:rPr>
          <w:rFonts w:ascii="Arial" w:hAnsi="Arial" w:cs="Arial"/>
          <w:sz w:val="24"/>
          <w:szCs w:val="24"/>
        </w:rPr>
        <w:t>VSK</w:t>
      </w:r>
      <w:r>
        <w:rPr>
          <w:rFonts w:ascii="Arial" w:hAnsi="Arial" w:cs="Arial"/>
          <w:sz w:val="24"/>
          <w:szCs w:val="24"/>
        </w:rPr>
        <w:t xml:space="preserve"> </w:t>
      </w:r>
      <w:r w:rsidRPr="000F6047">
        <w:rPr>
          <w:rFonts w:ascii="Arial" w:hAnsi="Arial" w:cs="Arial"/>
          <w:sz w:val="24"/>
          <w:szCs w:val="24"/>
        </w:rPr>
        <w:t xml:space="preserve">will support to prioritise identifying an appropriate </w:t>
      </w:r>
      <w:r>
        <w:rPr>
          <w:rFonts w:ascii="Arial" w:hAnsi="Arial" w:cs="Arial"/>
          <w:sz w:val="24"/>
          <w:szCs w:val="24"/>
        </w:rPr>
        <w:t>e</w:t>
      </w:r>
      <w:r w:rsidRPr="000F6047">
        <w:rPr>
          <w:rFonts w:ascii="Arial" w:hAnsi="Arial" w:cs="Arial"/>
          <w:sz w:val="24"/>
          <w:szCs w:val="24"/>
        </w:rPr>
        <w:t xml:space="preserve">ducational setting and </w:t>
      </w:r>
      <w:r>
        <w:rPr>
          <w:rFonts w:ascii="Arial" w:hAnsi="Arial" w:cs="Arial"/>
          <w:sz w:val="24"/>
          <w:szCs w:val="24"/>
        </w:rPr>
        <w:t xml:space="preserve">must </w:t>
      </w:r>
      <w:r w:rsidRPr="000F6047">
        <w:rPr>
          <w:rFonts w:ascii="Arial" w:hAnsi="Arial" w:cs="Arial"/>
          <w:sz w:val="24"/>
          <w:szCs w:val="24"/>
        </w:rPr>
        <w:t>be included in the early transition planning</w:t>
      </w:r>
      <w:r>
        <w:rPr>
          <w:rFonts w:ascii="Arial" w:hAnsi="Arial" w:cs="Arial"/>
          <w:sz w:val="24"/>
          <w:szCs w:val="24"/>
        </w:rPr>
        <w:t>, to include liaising with SEND for children with an EHCP</w:t>
      </w:r>
      <w:r w:rsidRPr="000F6047">
        <w:rPr>
          <w:rFonts w:ascii="Arial" w:hAnsi="Arial" w:cs="Arial"/>
          <w:sz w:val="24"/>
          <w:szCs w:val="24"/>
        </w:rPr>
        <w:t xml:space="preserve">. </w:t>
      </w:r>
      <w:r>
        <w:rPr>
          <w:rFonts w:ascii="Arial" w:hAnsi="Arial" w:cs="Arial"/>
          <w:sz w:val="24"/>
          <w:szCs w:val="24"/>
        </w:rPr>
        <w:t xml:space="preserve">If a change of school will be required due to the location of the foster carer, consideration must be given around the timing of this for the child. </w:t>
      </w:r>
    </w:p>
    <w:p w14:paraId="2CC41DBD" w14:textId="77777777" w:rsidR="000A0485" w:rsidRPr="00D40D8A" w:rsidRDefault="000A0485" w:rsidP="000A0485">
      <w:pPr>
        <w:pStyle w:val="Arielheadder"/>
      </w:pPr>
      <w:r>
        <w:t xml:space="preserve">Summary of Support </w:t>
      </w:r>
    </w:p>
    <w:p w14:paraId="7AB59DF8" w14:textId="77777777" w:rsidR="000A0485" w:rsidRDefault="000A0485" w:rsidP="000A0485">
      <w:pPr>
        <w:pStyle w:val="NormalWeb"/>
        <w:numPr>
          <w:ilvl w:val="0"/>
          <w:numId w:val="30"/>
        </w:numPr>
        <w:jc w:val="both"/>
        <w:rPr>
          <w:rFonts w:ascii="Arial" w:hAnsi="Arial" w:cs="Arial"/>
        </w:rPr>
      </w:pPr>
      <w:r>
        <w:rPr>
          <w:rFonts w:ascii="Arial" w:hAnsi="Arial" w:cs="Arial"/>
        </w:rPr>
        <w:t xml:space="preserve">For the first 8 weeks, the carer(s) will have regular minimum two weekly visits or contact from the Child’s Social Worker and/or the allocated Fostering Social Worker (FSW) or Independent Reviewing Officer (IRO). A Social Work Assistant will be linked to the foster carers to provide additional support and advice at key times. </w:t>
      </w:r>
    </w:p>
    <w:p w14:paraId="247A29C8" w14:textId="77777777" w:rsidR="000A0485" w:rsidRDefault="000A0485" w:rsidP="000A0485">
      <w:pPr>
        <w:pStyle w:val="NormalWeb"/>
        <w:numPr>
          <w:ilvl w:val="0"/>
          <w:numId w:val="30"/>
        </w:numPr>
        <w:jc w:val="both"/>
        <w:rPr>
          <w:rFonts w:ascii="Arial" w:hAnsi="Arial" w:cs="Arial"/>
        </w:rPr>
      </w:pPr>
      <w:r>
        <w:rPr>
          <w:rFonts w:ascii="Arial" w:hAnsi="Arial" w:cs="Arial"/>
        </w:rPr>
        <w:t xml:space="preserve">A therapist from the Special Guardianship and Therapeutic Support Team will be available to support the carers to better understand the young person’s behaviour, what drives it and to think about how to best manage the presenting behaviour. Where a child requires direct therapy sessions, there will need to be a referral made to Children’s Mental Health Services. </w:t>
      </w:r>
    </w:p>
    <w:p w14:paraId="7DA1ACB4" w14:textId="77777777" w:rsidR="000A0485" w:rsidRDefault="000A0485" w:rsidP="000A0485">
      <w:pPr>
        <w:pStyle w:val="NormalWeb"/>
        <w:numPr>
          <w:ilvl w:val="0"/>
          <w:numId w:val="30"/>
        </w:numPr>
        <w:jc w:val="both"/>
        <w:rPr>
          <w:rFonts w:ascii="Arial" w:hAnsi="Arial" w:cs="Arial"/>
        </w:rPr>
      </w:pPr>
      <w:r>
        <w:rPr>
          <w:rFonts w:ascii="Arial" w:hAnsi="Arial" w:cs="Arial"/>
        </w:rPr>
        <w:t>Specific support groups and training in working with teenagers are available for the carer(s) to attend to provide additional support and learning.</w:t>
      </w:r>
    </w:p>
    <w:p w14:paraId="3E6B676F" w14:textId="77777777" w:rsidR="000A0485" w:rsidRDefault="000A0485" w:rsidP="000A0485">
      <w:pPr>
        <w:pStyle w:val="NormalWeb"/>
        <w:numPr>
          <w:ilvl w:val="0"/>
          <w:numId w:val="30"/>
        </w:numPr>
        <w:jc w:val="both"/>
        <w:rPr>
          <w:rFonts w:ascii="Arial" w:hAnsi="Arial" w:cs="Arial"/>
        </w:rPr>
      </w:pPr>
      <w:r>
        <w:rPr>
          <w:rFonts w:ascii="Arial" w:hAnsi="Arial" w:cs="Arial"/>
        </w:rPr>
        <w:t>An experienced Foster Carer S</w:t>
      </w:r>
      <w:r w:rsidRPr="00490B09">
        <w:rPr>
          <w:rFonts w:ascii="Arial" w:hAnsi="Arial" w:cs="Arial"/>
        </w:rPr>
        <w:t xml:space="preserve">essional </w:t>
      </w:r>
      <w:r>
        <w:rPr>
          <w:rFonts w:ascii="Arial" w:hAnsi="Arial" w:cs="Arial"/>
        </w:rPr>
        <w:t>Worker</w:t>
      </w:r>
      <w:r w:rsidRPr="00490B09">
        <w:rPr>
          <w:rFonts w:ascii="Arial" w:hAnsi="Arial" w:cs="Arial"/>
        </w:rPr>
        <w:t xml:space="preserve"> </w:t>
      </w:r>
      <w:r>
        <w:rPr>
          <w:rFonts w:ascii="Arial" w:hAnsi="Arial" w:cs="Arial"/>
        </w:rPr>
        <w:t xml:space="preserve">will </w:t>
      </w:r>
      <w:r w:rsidRPr="00490B09">
        <w:rPr>
          <w:rFonts w:ascii="Arial" w:hAnsi="Arial" w:cs="Arial"/>
        </w:rPr>
        <w:t xml:space="preserve">be </w:t>
      </w:r>
      <w:r>
        <w:rPr>
          <w:rFonts w:ascii="Arial" w:hAnsi="Arial" w:cs="Arial"/>
        </w:rPr>
        <w:t>identified</w:t>
      </w:r>
      <w:r w:rsidRPr="00490B09">
        <w:rPr>
          <w:rFonts w:ascii="Arial" w:hAnsi="Arial" w:cs="Arial"/>
        </w:rPr>
        <w:t xml:space="preserve"> offer up to 15 hours a week support to work with the </w:t>
      </w:r>
      <w:r>
        <w:rPr>
          <w:rFonts w:ascii="Arial" w:hAnsi="Arial" w:cs="Arial"/>
        </w:rPr>
        <w:t>child and support the main carer</w:t>
      </w:r>
      <w:r w:rsidRPr="00490B09">
        <w:rPr>
          <w:rFonts w:ascii="Arial" w:hAnsi="Arial" w:cs="Arial"/>
        </w:rPr>
        <w:t xml:space="preserve">. </w:t>
      </w:r>
      <w:r>
        <w:rPr>
          <w:rFonts w:ascii="Arial" w:hAnsi="Arial" w:cs="Arial"/>
        </w:rPr>
        <w:t xml:space="preserve">There will need to be flexibility regarding when this support is accessed, dependent on the education offer to the child. </w:t>
      </w:r>
    </w:p>
    <w:p w14:paraId="396BD27C" w14:textId="77777777" w:rsidR="000A0485" w:rsidRDefault="000A0485" w:rsidP="000A0485">
      <w:pPr>
        <w:pStyle w:val="NormalWeb"/>
        <w:numPr>
          <w:ilvl w:val="0"/>
          <w:numId w:val="30"/>
        </w:numPr>
        <w:jc w:val="both"/>
        <w:rPr>
          <w:rFonts w:ascii="Arial" w:hAnsi="Arial" w:cs="Arial"/>
        </w:rPr>
      </w:pPr>
      <w:r>
        <w:rPr>
          <w:rFonts w:ascii="Arial" w:hAnsi="Arial" w:cs="Arial"/>
        </w:rPr>
        <w:t xml:space="preserve">Kent Fostering Out of Hours and County Out of Hours will prioritise calls from carers in the Step Across Scheme. </w:t>
      </w:r>
    </w:p>
    <w:p w14:paraId="7876AB9F" w14:textId="77777777" w:rsidR="000A0485" w:rsidRDefault="000A0485" w:rsidP="000A048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The main foster carer(s) will be able to access 3 days respite support per month via an identified Kent County Council foster carer. </w:t>
      </w:r>
      <w:r w:rsidRPr="00FA0F01">
        <w:rPr>
          <w:rStyle w:val="cf01"/>
          <w:rFonts w:ascii="Arial" w:hAnsi="Arial" w:cs="Arial"/>
          <w:sz w:val="24"/>
          <w:szCs w:val="24"/>
        </w:rPr>
        <w:t xml:space="preserve">From September 2024 it is anticipated that the </w:t>
      </w:r>
      <w:r>
        <w:rPr>
          <w:rStyle w:val="cf01"/>
          <w:rFonts w:ascii="Arial" w:hAnsi="Arial" w:cs="Arial"/>
          <w:sz w:val="24"/>
          <w:szCs w:val="24"/>
        </w:rPr>
        <w:t>‘</w:t>
      </w:r>
      <w:r w:rsidRPr="00FA0F01">
        <w:rPr>
          <w:rStyle w:val="cf01"/>
          <w:rFonts w:ascii="Arial" w:hAnsi="Arial" w:cs="Arial"/>
          <w:sz w:val="24"/>
          <w:szCs w:val="24"/>
        </w:rPr>
        <w:t>Mockingbird Program</w:t>
      </w:r>
      <w:r>
        <w:rPr>
          <w:rStyle w:val="cf01"/>
          <w:rFonts w:ascii="Arial" w:hAnsi="Arial" w:cs="Arial"/>
          <w:sz w:val="24"/>
          <w:szCs w:val="24"/>
        </w:rPr>
        <w:t>’</w:t>
      </w:r>
      <w:r w:rsidRPr="00FA0F01">
        <w:rPr>
          <w:rStyle w:val="cf01"/>
          <w:rFonts w:ascii="Arial" w:hAnsi="Arial" w:cs="Arial"/>
          <w:sz w:val="24"/>
          <w:szCs w:val="24"/>
        </w:rPr>
        <w:t xml:space="preserve"> may be able to be part of the support offered to Step Across to </w:t>
      </w:r>
      <w:r>
        <w:rPr>
          <w:rStyle w:val="cf01"/>
          <w:rFonts w:ascii="Arial" w:hAnsi="Arial" w:cs="Arial"/>
          <w:sz w:val="24"/>
          <w:szCs w:val="24"/>
        </w:rPr>
        <w:t>F</w:t>
      </w:r>
      <w:r w:rsidRPr="00FA0F01">
        <w:rPr>
          <w:rStyle w:val="cf01"/>
          <w:rFonts w:ascii="Arial" w:hAnsi="Arial" w:cs="Arial"/>
          <w:sz w:val="24"/>
          <w:szCs w:val="24"/>
        </w:rPr>
        <w:t>ostering families</w:t>
      </w:r>
      <w:r>
        <w:rPr>
          <w:rStyle w:val="cf01"/>
          <w:rFonts w:ascii="Arial" w:hAnsi="Arial" w:cs="Arial"/>
          <w:sz w:val="24"/>
          <w:szCs w:val="24"/>
        </w:rPr>
        <w:t>.</w:t>
      </w:r>
    </w:p>
    <w:p w14:paraId="7BA2E506" w14:textId="77777777" w:rsidR="000A0485" w:rsidRPr="003C167F" w:rsidRDefault="000A0485" w:rsidP="000A0485">
      <w:pPr>
        <w:pStyle w:val="ListParagraph"/>
        <w:numPr>
          <w:ilvl w:val="0"/>
          <w:numId w:val="30"/>
        </w:numPr>
        <w:spacing w:after="0" w:line="240" w:lineRule="auto"/>
        <w:rPr>
          <w:rFonts w:ascii="Arial" w:hAnsi="Arial" w:cs="Arial"/>
          <w:sz w:val="24"/>
          <w:szCs w:val="24"/>
        </w:rPr>
      </w:pPr>
      <w:r w:rsidRPr="003C167F">
        <w:rPr>
          <w:rFonts w:ascii="Arial" w:hAnsi="Arial" w:cs="Arial"/>
          <w:sz w:val="24"/>
          <w:szCs w:val="24"/>
        </w:rPr>
        <w:t xml:space="preserve">For disabled children, dependent on their needs, there will be agreement that respite of 3 days respite support per month will be available through the Short Breaks Units. This could include overnight stays where appropriate for the child </w:t>
      </w:r>
      <w:r>
        <w:rPr>
          <w:rFonts w:ascii="Arial" w:hAnsi="Arial" w:cs="Arial"/>
          <w:sz w:val="24"/>
          <w:szCs w:val="24"/>
        </w:rPr>
        <w:t xml:space="preserve">and </w:t>
      </w:r>
      <w:r w:rsidRPr="003C167F">
        <w:rPr>
          <w:rFonts w:ascii="Arial" w:hAnsi="Arial" w:cs="Arial"/>
          <w:sz w:val="24"/>
          <w:szCs w:val="24"/>
        </w:rPr>
        <w:t xml:space="preserve">will need to be part of the child’s transition planning to ensure this </w:t>
      </w:r>
      <w:r>
        <w:rPr>
          <w:rFonts w:ascii="Arial" w:hAnsi="Arial" w:cs="Arial"/>
          <w:sz w:val="24"/>
          <w:szCs w:val="24"/>
        </w:rPr>
        <w:t xml:space="preserve">respite offer </w:t>
      </w:r>
      <w:r w:rsidRPr="003C167F">
        <w:rPr>
          <w:rFonts w:ascii="Arial" w:hAnsi="Arial" w:cs="Arial"/>
          <w:sz w:val="24"/>
          <w:szCs w:val="24"/>
        </w:rPr>
        <w:t xml:space="preserve">can be </w:t>
      </w:r>
      <w:r>
        <w:rPr>
          <w:rFonts w:ascii="Arial" w:hAnsi="Arial" w:cs="Arial"/>
          <w:sz w:val="24"/>
          <w:szCs w:val="24"/>
        </w:rPr>
        <w:t xml:space="preserve">achieved. </w:t>
      </w:r>
    </w:p>
    <w:p w14:paraId="33391788" w14:textId="77777777" w:rsidR="000A0485" w:rsidRPr="00581426" w:rsidRDefault="000A0485" w:rsidP="000A048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All respite support offered via the Step Across to Fostering Scheme is additional to the standard holiday entitlement offered to all KCC Foster Carers. </w:t>
      </w:r>
    </w:p>
    <w:p w14:paraId="30489C17" w14:textId="77777777" w:rsidR="000A0485" w:rsidRDefault="000A0485" w:rsidP="000A0485">
      <w:pPr>
        <w:pStyle w:val="NormalWeb"/>
        <w:numPr>
          <w:ilvl w:val="0"/>
          <w:numId w:val="30"/>
        </w:numPr>
        <w:jc w:val="both"/>
        <w:rPr>
          <w:rFonts w:ascii="Arial" w:hAnsi="Arial" w:cs="Arial"/>
        </w:rPr>
      </w:pPr>
      <w:r>
        <w:rPr>
          <w:rFonts w:ascii="Arial" w:hAnsi="Arial" w:cs="Arial"/>
        </w:rPr>
        <w:t xml:space="preserve">The role of all KCC staff within the child’s network is to work together to support the carer(s) in providing security and stability for the child to enable them to live within a family home. </w:t>
      </w:r>
    </w:p>
    <w:p w14:paraId="6C98F678" w14:textId="77777777" w:rsidR="000A0485" w:rsidRDefault="000A0485" w:rsidP="000A0485">
      <w:pPr>
        <w:pStyle w:val="Arielheadder"/>
      </w:pPr>
      <w:r w:rsidRPr="00C2753E">
        <w:t>Summary of Fostering Payments (2023 Rates)</w:t>
      </w:r>
    </w:p>
    <w:p w14:paraId="43344ACF" w14:textId="77777777" w:rsidR="000A0485" w:rsidRDefault="000A0485" w:rsidP="000A0485"/>
    <w:p w14:paraId="4826D2B9" w14:textId="77777777" w:rsidR="000A0485" w:rsidRPr="00C2753E" w:rsidRDefault="000A0485" w:rsidP="000A0485">
      <w:pPr>
        <w:rPr>
          <w:rFonts w:ascii="Arial" w:hAnsi="Arial" w:cs="Arial"/>
          <w:color w:val="0070C0"/>
          <w:sz w:val="24"/>
          <w:szCs w:val="24"/>
        </w:rPr>
      </w:pPr>
      <w:r w:rsidRPr="00C2753E">
        <w:rPr>
          <w:rFonts w:ascii="Arial" w:hAnsi="Arial" w:cs="Arial"/>
          <w:color w:val="0070C0"/>
          <w:sz w:val="24"/>
          <w:szCs w:val="24"/>
        </w:rPr>
        <w:t>At point of match</w:t>
      </w:r>
    </w:p>
    <w:p w14:paraId="146ECFC9" w14:textId="77777777" w:rsidR="000A0485" w:rsidRPr="00C97045" w:rsidRDefault="000A0485" w:rsidP="000A0485">
      <w:pPr>
        <w:pStyle w:val="ListParagraph"/>
        <w:numPr>
          <w:ilvl w:val="0"/>
          <w:numId w:val="29"/>
        </w:numPr>
        <w:spacing w:after="0" w:line="240" w:lineRule="auto"/>
        <w:ind w:left="284"/>
        <w:rPr>
          <w:rFonts w:ascii="Arial" w:hAnsi="Arial" w:cs="Arial"/>
          <w:sz w:val="24"/>
          <w:szCs w:val="24"/>
        </w:rPr>
      </w:pPr>
      <w:r w:rsidRPr="00C97045">
        <w:rPr>
          <w:rFonts w:ascii="Arial" w:hAnsi="Arial" w:cs="Arial"/>
          <w:b/>
          <w:bCs/>
          <w:sz w:val="24"/>
          <w:szCs w:val="24"/>
        </w:rPr>
        <w:t>£258.63</w:t>
      </w:r>
      <w:r w:rsidRPr="00C97045">
        <w:rPr>
          <w:rFonts w:ascii="Arial" w:hAnsi="Arial" w:cs="Arial"/>
          <w:sz w:val="24"/>
          <w:szCs w:val="24"/>
        </w:rPr>
        <w:t xml:space="preserve"> </w:t>
      </w:r>
      <w:r w:rsidRPr="00C97045">
        <w:rPr>
          <w:rFonts w:ascii="Arial" w:hAnsi="Arial" w:cs="Arial"/>
          <w:b/>
          <w:bCs/>
          <w:sz w:val="24"/>
          <w:szCs w:val="24"/>
        </w:rPr>
        <w:t xml:space="preserve">per week </w:t>
      </w:r>
      <w:r w:rsidRPr="00C97045">
        <w:rPr>
          <w:rFonts w:ascii="Arial" w:hAnsi="Arial" w:cs="Arial"/>
          <w:sz w:val="24"/>
          <w:szCs w:val="24"/>
        </w:rPr>
        <w:t>retainer (equivalent to the higher rate reward)</w:t>
      </w:r>
      <w:r w:rsidRPr="00C97045">
        <w:rPr>
          <w:rFonts w:ascii="Arial" w:hAnsi="Arial" w:cs="Arial"/>
          <w:b/>
          <w:bCs/>
          <w:sz w:val="24"/>
          <w:szCs w:val="24"/>
        </w:rPr>
        <w:t xml:space="preserve"> </w:t>
      </w:r>
      <w:r w:rsidRPr="00C97045">
        <w:rPr>
          <w:rFonts w:ascii="Arial" w:hAnsi="Arial" w:cs="Arial"/>
          <w:sz w:val="24"/>
          <w:szCs w:val="24"/>
        </w:rPr>
        <w:t>paid from point of match, throughout introductory period, up until child moves into the foster home</w:t>
      </w:r>
      <w:r w:rsidRPr="00C97045">
        <w:rPr>
          <w:rFonts w:ascii="Arial" w:hAnsi="Arial" w:cs="Arial"/>
          <w:b/>
          <w:bCs/>
          <w:sz w:val="24"/>
          <w:szCs w:val="24"/>
        </w:rPr>
        <w:t xml:space="preserve">.  </w:t>
      </w:r>
    </w:p>
    <w:p w14:paraId="7A261DEB" w14:textId="77777777" w:rsidR="000A0485" w:rsidRDefault="000A0485" w:rsidP="000A0485">
      <w:pPr>
        <w:pStyle w:val="ListParagraph"/>
        <w:numPr>
          <w:ilvl w:val="0"/>
          <w:numId w:val="29"/>
        </w:numPr>
        <w:spacing w:after="0" w:line="240" w:lineRule="auto"/>
        <w:ind w:left="284"/>
        <w:rPr>
          <w:rFonts w:ascii="Arial" w:hAnsi="Arial" w:cs="Arial"/>
          <w:sz w:val="24"/>
          <w:szCs w:val="24"/>
        </w:rPr>
      </w:pPr>
      <w:r w:rsidRPr="00C97045">
        <w:rPr>
          <w:rFonts w:ascii="Arial" w:hAnsi="Arial" w:cs="Arial"/>
          <w:sz w:val="24"/>
          <w:szCs w:val="24"/>
          <w:u w:val="single"/>
        </w:rPr>
        <w:t>If carers have any vacancies within their current terms of approval</w:t>
      </w:r>
      <w:r w:rsidRPr="00C97045">
        <w:rPr>
          <w:rFonts w:ascii="Arial" w:hAnsi="Arial" w:cs="Arial"/>
          <w:sz w:val="24"/>
          <w:szCs w:val="24"/>
        </w:rPr>
        <w:t xml:space="preserve"> </w:t>
      </w:r>
      <w:r w:rsidRPr="00C97045">
        <w:rPr>
          <w:rFonts w:ascii="Arial" w:hAnsi="Arial" w:cs="Arial"/>
          <w:b/>
          <w:bCs/>
          <w:sz w:val="24"/>
          <w:szCs w:val="24"/>
        </w:rPr>
        <w:t xml:space="preserve">£258.63 per week </w:t>
      </w:r>
      <w:r w:rsidRPr="00C97045">
        <w:rPr>
          <w:rFonts w:ascii="Arial" w:hAnsi="Arial" w:cs="Arial"/>
          <w:sz w:val="24"/>
          <w:szCs w:val="24"/>
        </w:rPr>
        <w:t>paid</w:t>
      </w:r>
      <w:r w:rsidRPr="00C97045">
        <w:rPr>
          <w:rFonts w:ascii="Arial" w:hAnsi="Arial" w:cs="Arial"/>
          <w:b/>
          <w:bCs/>
          <w:sz w:val="24"/>
          <w:szCs w:val="24"/>
        </w:rPr>
        <w:t xml:space="preserve"> </w:t>
      </w:r>
      <w:r w:rsidRPr="00C97045">
        <w:rPr>
          <w:rFonts w:ascii="Arial" w:hAnsi="Arial" w:cs="Arial"/>
          <w:sz w:val="24"/>
          <w:szCs w:val="24"/>
        </w:rPr>
        <w:t xml:space="preserve">for a maximum of 4 weeks for one vacant bed only to support the settling in period.  </w:t>
      </w:r>
    </w:p>
    <w:p w14:paraId="2356C0A7" w14:textId="77777777" w:rsidR="000A0485" w:rsidRPr="00C97045" w:rsidRDefault="000A0485" w:rsidP="000A0485">
      <w:pPr>
        <w:pStyle w:val="ListParagraph"/>
        <w:numPr>
          <w:ilvl w:val="0"/>
          <w:numId w:val="29"/>
        </w:numPr>
        <w:spacing w:after="0" w:line="240" w:lineRule="auto"/>
        <w:ind w:left="284"/>
        <w:rPr>
          <w:rFonts w:ascii="Arial" w:hAnsi="Arial" w:cs="Arial"/>
          <w:sz w:val="24"/>
          <w:szCs w:val="24"/>
        </w:rPr>
      </w:pPr>
      <w:r w:rsidRPr="00C97045">
        <w:rPr>
          <w:rFonts w:ascii="Arial" w:hAnsi="Arial" w:cs="Arial"/>
          <w:b/>
          <w:bCs/>
          <w:sz w:val="24"/>
          <w:szCs w:val="24"/>
        </w:rPr>
        <w:t xml:space="preserve">45p per mile </w:t>
      </w:r>
      <w:r w:rsidRPr="00C97045">
        <w:rPr>
          <w:rFonts w:ascii="Arial" w:hAnsi="Arial" w:cs="Arial"/>
          <w:sz w:val="24"/>
          <w:szCs w:val="24"/>
        </w:rPr>
        <w:t>for all travel incurred during the introductory period.</w:t>
      </w:r>
    </w:p>
    <w:p w14:paraId="522978F2" w14:textId="77777777" w:rsidR="000A0485" w:rsidRPr="00C97045" w:rsidRDefault="000A0485" w:rsidP="000A0485">
      <w:pPr>
        <w:pStyle w:val="ListParagraph"/>
        <w:spacing w:after="0" w:line="240" w:lineRule="auto"/>
        <w:ind w:left="284"/>
        <w:rPr>
          <w:rFonts w:ascii="Arial" w:hAnsi="Arial" w:cs="Arial"/>
          <w:sz w:val="24"/>
          <w:szCs w:val="24"/>
        </w:rPr>
      </w:pPr>
    </w:p>
    <w:p w14:paraId="1C11B12F" w14:textId="77777777" w:rsidR="000A0485" w:rsidRPr="00C2753E" w:rsidRDefault="000A0485" w:rsidP="000A0485">
      <w:pPr>
        <w:spacing w:after="0" w:line="240" w:lineRule="auto"/>
        <w:rPr>
          <w:rFonts w:ascii="Arial" w:hAnsi="Arial" w:cs="Arial"/>
          <w:color w:val="0070C0"/>
          <w:sz w:val="24"/>
          <w:szCs w:val="24"/>
        </w:rPr>
      </w:pPr>
      <w:r w:rsidRPr="00C2753E">
        <w:rPr>
          <w:rFonts w:ascii="Arial" w:hAnsi="Arial" w:cs="Arial"/>
          <w:color w:val="0070C0"/>
          <w:sz w:val="24"/>
          <w:szCs w:val="24"/>
        </w:rPr>
        <w:t xml:space="preserve">At point of moving in:  </w:t>
      </w:r>
    </w:p>
    <w:p w14:paraId="6DC726AC" w14:textId="77777777" w:rsidR="000A0485" w:rsidRPr="00C97045" w:rsidRDefault="000A0485" w:rsidP="000A0485">
      <w:pPr>
        <w:spacing w:after="0" w:line="240" w:lineRule="auto"/>
        <w:rPr>
          <w:rFonts w:ascii="Arial" w:hAnsi="Arial" w:cs="Arial"/>
          <w:color w:val="4472C4" w:themeColor="accent1"/>
          <w:sz w:val="24"/>
          <w:szCs w:val="24"/>
        </w:rPr>
      </w:pPr>
    </w:p>
    <w:p w14:paraId="0C238315" w14:textId="77777777" w:rsidR="000A0485" w:rsidRPr="00C97045" w:rsidRDefault="000A0485" w:rsidP="000A0485">
      <w:pPr>
        <w:pStyle w:val="ListParagraph"/>
        <w:numPr>
          <w:ilvl w:val="0"/>
          <w:numId w:val="31"/>
        </w:numPr>
        <w:spacing w:after="0" w:line="240" w:lineRule="auto"/>
        <w:rPr>
          <w:rFonts w:ascii="Arial" w:hAnsi="Arial" w:cs="Arial"/>
          <w:sz w:val="24"/>
          <w:szCs w:val="24"/>
        </w:rPr>
      </w:pPr>
      <w:r w:rsidRPr="00C97045">
        <w:rPr>
          <w:rFonts w:ascii="Arial" w:hAnsi="Arial" w:cs="Arial"/>
          <w:b/>
          <w:bCs/>
          <w:sz w:val="24"/>
          <w:szCs w:val="24"/>
        </w:rPr>
        <w:t>£258.63 per week</w:t>
      </w:r>
      <w:r w:rsidRPr="00C97045">
        <w:rPr>
          <w:rFonts w:ascii="Arial" w:hAnsi="Arial" w:cs="Arial"/>
          <w:sz w:val="24"/>
          <w:szCs w:val="24"/>
        </w:rPr>
        <w:t xml:space="preserve"> higher rate reward regardless of the age of the child paid from the point the child moves into the foster home. </w:t>
      </w:r>
    </w:p>
    <w:p w14:paraId="49687400" w14:textId="77777777" w:rsidR="000A0485" w:rsidRPr="00C97045" w:rsidRDefault="000A0485" w:rsidP="000A0485">
      <w:pPr>
        <w:pStyle w:val="ListParagraph"/>
        <w:numPr>
          <w:ilvl w:val="0"/>
          <w:numId w:val="31"/>
        </w:numPr>
        <w:spacing w:after="0" w:line="240" w:lineRule="auto"/>
        <w:rPr>
          <w:rFonts w:ascii="Arial" w:hAnsi="Arial" w:cs="Arial"/>
          <w:sz w:val="24"/>
          <w:szCs w:val="24"/>
        </w:rPr>
      </w:pPr>
      <w:r w:rsidRPr="00C97045">
        <w:rPr>
          <w:rFonts w:ascii="Arial" w:hAnsi="Arial" w:cs="Arial"/>
          <w:sz w:val="24"/>
          <w:szCs w:val="24"/>
        </w:rPr>
        <w:t>Age related maintenance paid from the point the child moves into the foster home.</w:t>
      </w:r>
    </w:p>
    <w:p w14:paraId="473706C1" w14:textId="77777777" w:rsidR="000A0485" w:rsidRPr="00C97045" w:rsidRDefault="000A0485" w:rsidP="000A0485">
      <w:pPr>
        <w:pStyle w:val="ListParagraph"/>
        <w:numPr>
          <w:ilvl w:val="0"/>
          <w:numId w:val="31"/>
        </w:numPr>
        <w:spacing w:after="0" w:line="240" w:lineRule="auto"/>
        <w:rPr>
          <w:rFonts w:ascii="Arial" w:hAnsi="Arial" w:cs="Arial"/>
          <w:sz w:val="24"/>
          <w:szCs w:val="24"/>
        </w:rPr>
      </w:pPr>
      <w:r w:rsidRPr="00C97045">
        <w:rPr>
          <w:rFonts w:ascii="Arial" w:hAnsi="Arial" w:cs="Arial"/>
          <w:b/>
          <w:bCs/>
          <w:sz w:val="24"/>
          <w:szCs w:val="24"/>
        </w:rPr>
        <w:t>£258.63 per week</w:t>
      </w:r>
      <w:r w:rsidRPr="00C97045">
        <w:rPr>
          <w:rFonts w:ascii="Arial" w:hAnsi="Arial" w:cs="Arial"/>
          <w:sz w:val="24"/>
          <w:szCs w:val="24"/>
        </w:rPr>
        <w:t xml:space="preserve"> complex payment for the first eighteen months, this will then be reviewed by the Access to Resource Panel. </w:t>
      </w:r>
    </w:p>
    <w:p w14:paraId="250B0364" w14:textId="77777777" w:rsidR="000A0485" w:rsidRDefault="000A0485" w:rsidP="000A0485">
      <w:pPr>
        <w:pStyle w:val="ListParagraph"/>
        <w:numPr>
          <w:ilvl w:val="0"/>
          <w:numId w:val="31"/>
        </w:numPr>
        <w:spacing w:after="0" w:line="240" w:lineRule="auto"/>
        <w:rPr>
          <w:rFonts w:ascii="Arial" w:hAnsi="Arial" w:cs="Arial"/>
          <w:sz w:val="24"/>
          <w:szCs w:val="24"/>
        </w:rPr>
      </w:pPr>
      <w:r w:rsidRPr="00C97045">
        <w:rPr>
          <w:rFonts w:ascii="Arial" w:hAnsi="Arial" w:cs="Arial"/>
          <w:b/>
          <w:bCs/>
          <w:sz w:val="24"/>
          <w:szCs w:val="24"/>
        </w:rPr>
        <w:t xml:space="preserve">45p per mile </w:t>
      </w:r>
      <w:r w:rsidRPr="00C97045">
        <w:rPr>
          <w:rFonts w:ascii="Arial" w:hAnsi="Arial" w:cs="Arial"/>
          <w:sz w:val="24"/>
          <w:szCs w:val="24"/>
        </w:rPr>
        <w:t xml:space="preserve">for all travel </w:t>
      </w:r>
      <w:r>
        <w:rPr>
          <w:rFonts w:ascii="Arial" w:hAnsi="Arial" w:cs="Arial"/>
          <w:sz w:val="24"/>
          <w:szCs w:val="24"/>
        </w:rPr>
        <w:t>in accordance with the mileage policy for foster carers</w:t>
      </w:r>
      <w:r w:rsidRPr="00C97045">
        <w:rPr>
          <w:rFonts w:ascii="Arial" w:hAnsi="Arial" w:cs="Arial"/>
          <w:sz w:val="24"/>
          <w:szCs w:val="24"/>
        </w:rPr>
        <w:t>.</w:t>
      </w:r>
    </w:p>
    <w:p w14:paraId="328DCEAC" w14:textId="77777777" w:rsidR="000A0485" w:rsidRDefault="000A0485" w:rsidP="000A0485">
      <w:pPr>
        <w:pStyle w:val="ListParagraph"/>
        <w:spacing w:after="0" w:line="240" w:lineRule="auto"/>
        <w:rPr>
          <w:rFonts w:ascii="Arial" w:hAnsi="Arial" w:cs="Arial"/>
          <w:b/>
          <w:bCs/>
          <w:sz w:val="24"/>
          <w:szCs w:val="24"/>
        </w:rPr>
      </w:pPr>
    </w:p>
    <w:p w14:paraId="053E70EF" w14:textId="77777777" w:rsidR="000A0485" w:rsidRPr="008137BA" w:rsidRDefault="000A0485" w:rsidP="000A0485">
      <w:pPr>
        <w:spacing w:after="0" w:line="240" w:lineRule="auto"/>
        <w:rPr>
          <w:rFonts w:ascii="Arial" w:hAnsi="Arial" w:cs="Arial"/>
          <w:color w:val="4472C4" w:themeColor="accent1"/>
          <w:sz w:val="24"/>
          <w:szCs w:val="24"/>
        </w:rPr>
      </w:pPr>
      <w:r w:rsidRPr="008137BA">
        <w:rPr>
          <w:rFonts w:ascii="Arial" w:hAnsi="Arial" w:cs="Arial"/>
          <w:color w:val="4472C4" w:themeColor="accent1"/>
          <w:sz w:val="24"/>
          <w:szCs w:val="24"/>
        </w:rPr>
        <w:t>Tax Implications for Foster Carers</w:t>
      </w:r>
    </w:p>
    <w:p w14:paraId="477F2923" w14:textId="77777777" w:rsidR="000A0485" w:rsidRDefault="000A0485" w:rsidP="000A0485">
      <w:pPr>
        <w:pStyle w:val="ListParagraph"/>
        <w:spacing w:after="0" w:line="240" w:lineRule="auto"/>
        <w:rPr>
          <w:rFonts w:ascii="Arial" w:hAnsi="Arial" w:cs="Arial"/>
          <w:b/>
          <w:bCs/>
          <w:sz w:val="24"/>
          <w:szCs w:val="24"/>
        </w:rPr>
      </w:pPr>
    </w:p>
    <w:p w14:paraId="7459F2E9" w14:textId="77777777" w:rsidR="000A0485" w:rsidRDefault="000A0485" w:rsidP="000A0485">
      <w:pPr>
        <w:spacing w:after="0" w:line="240" w:lineRule="auto"/>
        <w:rPr>
          <w:rFonts w:ascii="Arial" w:hAnsi="Arial" w:cs="Arial"/>
          <w:sz w:val="24"/>
          <w:szCs w:val="24"/>
        </w:rPr>
      </w:pPr>
      <w:r>
        <w:rPr>
          <w:rFonts w:ascii="Arial" w:hAnsi="Arial" w:cs="Arial"/>
          <w:sz w:val="24"/>
          <w:szCs w:val="24"/>
        </w:rPr>
        <w:t xml:space="preserve">As the scheme offers foster carers retention payments alongside their reward fee and maintenance, carers will be required to seek advice on any tax implications this may have. </w:t>
      </w:r>
    </w:p>
    <w:p w14:paraId="39C8D49F" w14:textId="77777777" w:rsidR="000A0485" w:rsidRPr="00D621C2" w:rsidRDefault="000A0485" w:rsidP="000A0485">
      <w:pPr>
        <w:spacing w:after="0" w:line="240" w:lineRule="auto"/>
        <w:rPr>
          <w:rFonts w:ascii="Arial" w:hAnsi="Arial" w:cs="Arial"/>
          <w:sz w:val="24"/>
          <w:szCs w:val="24"/>
        </w:rPr>
      </w:pPr>
      <w:r w:rsidRPr="00D621C2">
        <w:rPr>
          <w:rFonts w:ascii="Arial" w:hAnsi="Arial" w:cs="Arial"/>
          <w:sz w:val="24"/>
          <w:szCs w:val="24"/>
        </w:rPr>
        <w:br w:type="page"/>
      </w:r>
    </w:p>
    <w:p w14:paraId="6891BAE4" w14:textId="77777777" w:rsidR="000A0485" w:rsidRDefault="000A0485" w:rsidP="000A0485">
      <w:pPr>
        <w:pStyle w:val="ListParagraph"/>
        <w:spacing w:after="0" w:line="360" w:lineRule="auto"/>
        <w:ind w:left="284"/>
        <w:jc w:val="center"/>
        <w:rPr>
          <w:rFonts w:ascii="Arial" w:hAnsi="Arial" w:cs="Arial"/>
          <w:b/>
          <w:bCs/>
          <w:color w:val="2E74B5" w:themeColor="accent5" w:themeShade="BF"/>
          <w:sz w:val="24"/>
          <w:szCs w:val="24"/>
        </w:rPr>
      </w:pPr>
      <w:r w:rsidRPr="008D7A44">
        <w:rPr>
          <w:rFonts w:ascii="Arial" w:hAnsi="Arial" w:cs="Arial"/>
          <w:b/>
          <w:bCs/>
          <w:color w:val="2E74B5" w:themeColor="accent5" w:themeShade="BF"/>
          <w:sz w:val="24"/>
          <w:szCs w:val="24"/>
        </w:rPr>
        <w:t>Weekly summary of foster payments for Step Across to Fostering 2023 Rates (without retainers or vacancy payments)</w:t>
      </w:r>
    </w:p>
    <w:p w14:paraId="39BBA295" w14:textId="77777777" w:rsidR="000A0485" w:rsidRDefault="000A0485" w:rsidP="000A0485">
      <w:pPr>
        <w:pStyle w:val="ListParagraph"/>
        <w:spacing w:after="0" w:line="360" w:lineRule="auto"/>
        <w:ind w:left="284"/>
        <w:jc w:val="center"/>
        <w:rPr>
          <w:rFonts w:ascii="Arial" w:hAnsi="Arial" w:cs="Arial"/>
          <w:b/>
          <w:bCs/>
          <w:color w:val="2E74B5" w:themeColor="accent5" w:themeShade="BF"/>
          <w:sz w:val="24"/>
          <w:szCs w:val="24"/>
        </w:rPr>
      </w:pPr>
    </w:p>
    <w:p w14:paraId="6E58FB3A" w14:textId="77777777" w:rsidR="000A0485" w:rsidRDefault="000A0485" w:rsidP="000A0485">
      <w:pPr>
        <w:pStyle w:val="ListParagraph"/>
        <w:spacing w:after="0" w:line="360" w:lineRule="auto"/>
        <w:ind w:left="284"/>
        <w:jc w:val="center"/>
        <w:rPr>
          <w:rFonts w:ascii="Arial" w:hAnsi="Arial" w:cs="Arial"/>
          <w:b/>
          <w:bCs/>
          <w:color w:val="2E74B5" w:themeColor="accent5" w:themeShade="BF"/>
          <w:sz w:val="24"/>
          <w:szCs w:val="24"/>
        </w:rPr>
      </w:pPr>
    </w:p>
    <w:tbl>
      <w:tblPr>
        <w:tblStyle w:val="TableGrid3"/>
        <w:tblW w:w="0" w:type="auto"/>
        <w:tblLook w:val="04A0" w:firstRow="1" w:lastRow="0" w:firstColumn="1" w:lastColumn="0" w:noHBand="0" w:noVBand="1"/>
      </w:tblPr>
      <w:tblGrid>
        <w:gridCol w:w="2233"/>
        <w:gridCol w:w="2177"/>
        <w:gridCol w:w="2178"/>
        <w:gridCol w:w="2178"/>
      </w:tblGrid>
      <w:tr w:rsidR="000A0485" w:rsidRPr="00EE5A04" w14:paraId="364A0781" w14:textId="77777777" w:rsidTr="004E4931">
        <w:tc>
          <w:tcPr>
            <w:tcW w:w="2310" w:type="dxa"/>
            <w:tcBorders>
              <w:top w:val="single" w:sz="4" w:space="0" w:color="auto"/>
              <w:left w:val="single" w:sz="4" w:space="0" w:color="auto"/>
              <w:bottom w:val="single" w:sz="4" w:space="0" w:color="auto"/>
              <w:right w:val="nil"/>
            </w:tcBorders>
            <w:shd w:val="clear" w:color="auto" w:fill="8EAADB" w:themeFill="accent1" w:themeFillTint="99"/>
          </w:tcPr>
          <w:p w14:paraId="66AADCC0" w14:textId="77777777" w:rsidR="000A0485" w:rsidRPr="00EE5A04" w:rsidRDefault="000A0485" w:rsidP="004E4931">
            <w:pPr>
              <w:rPr>
                <w:rFonts w:asciiTheme="minorBidi" w:hAnsiTheme="minorBidi"/>
                <w:b/>
                <w:bCs/>
                <w:sz w:val="24"/>
                <w:szCs w:val="24"/>
              </w:rPr>
            </w:pPr>
            <w:r w:rsidRPr="00EE5A04">
              <w:rPr>
                <w:rFonts w:asciiTheme="minorBidi" w:hAnsiTheme="minorBidi"/>
                <w:b/>
                <w:bCs/>
                <w:sz w:val="24"/>
                <w:szCs w:val="24"/>
              </w:rPr>
              <w:t>Foundation Level Carer</w:t>
            </w:r>
          </w:p>
        </w:tc>
        <w:tc>
          <w:tcPr>
            <w:tcW w:w="2310" w:type="dxa"/>
            <w:tcBorders>
              <w:top w:val="single" w:sz="4" w:space="0" w:color="auto"/>
              <w:left w:val="nil"/>
              <w:bottom w:val="single" w:sz="4" w:space="0" w:color="auto"/>
              <w:right w:val="nil"/>
            </w:tcBorders>
            <w:shd w:val="clear" w:color="auto" w:fill="8EAADB" w:themeFill="accent1" w:themeFillTint="99"/>
          </w:tcPr>
          <w:p w14:paraId="43E3952E"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nil"/>
            </w:tcBorders>
            <w:shd w:val="clear" w:color="auto" w:fill="8EAADB" w:themeFill="accent1" w:themeFillTint="99"/>
          </w:tcPr>
          <w:p w14:paraId="0CDEE0FA"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single" w:sz="4" w:space="0" w:color="auto"/>
            </w:tcBorders>
            <w:shd w:val="clear" w:color="auto" w:fill="8EAADB" w:themeFill="accent1" w:themeFillTint="99"/>
          </w:tcPr>
          <w:p w14:paraId="5D699370" w14:textId="77777777" w:rsidR="000A0485" w:rsidRPr="00EE5A04" w:rsidRDefault="000A0485" w:rsidP="004E4931">
            <w:pPr>
              <w:rPr>
                <w:rFonts w:asciiTheme="minorBidi" w:hAnsiTheme="minorBidi"/>
                <w:sz w:val="24"/>
                <w:szCs w:val="24"/>
              </w:rPr>
            </w:pPr>
          </w:p>
        </w:tc>
      </w:tr>
      <w:tr w:rsidR="000A0485" w:rsidRPr="00EE5A04" w14:paraId="1CDEDC84" w14:textId="77777777" w:rsidTr="004E4931">
        <w:tc>
          <w:tcPr>
            <w:tcW w:w="2310" w:type="dxa"/>
            <w:tcBorders>
              <w:top w:val="single" w:sz="4" w:space="0" w:color="auto"/>
            </w:tcBorders>
          </w:tcPr>
          <w:p w14:paraId="510EB535"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Age</w:t>
            </w:r>
          </w:p>
        </w:tc>
        <w:tc>
          <w:tcPr>
            <w:tcW w:w="2310" w:type="dxa"/>
            <w:tcBorders>
              <w:top w:val="single" w:sz="4" w:space="0" w:color="auto"/>
            </w:tcBorders>
          </w:tcPr>
          <w:p w14:paraId="3C4A87D3"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9 to 10 years</w:t>
            </w:r>
          </w:p>
        </w:tc>
        <w:tc>
          <w:tcPr>
            <w:tcW w:w="2311" w:type="dxa"/>
            <w:tcBorders>
              <w:top w:val="single" w:sz="4" w:space="0" w:color="auto"/>
            </w:tcBorders>
          </w:tcPr>
          <w:p w14:paraId="12496DC4"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11 to 15 years</w:t>
            </w:r>
          </w:p>
        </w:tc>
        <w:tc>
          <w:tcPr>
            <w:tcW w:w="2311" w:type="dxa"/>
            <w:tcBorders>
              <w:top w:val="single" w:sz="4" w:space="0" w:color="auto"/>
            </w:tcBorders>
          </w:tcPr>
          <w:p w14:paraId="2604AFF4"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16 to 18 years</w:t>
            </w:r>
          </w:p>
        </w:tc>
      </w:tr>
      <w:tr w:rsidR="000A0485" w:rsidRPr="00EE5A04" w14:paraId="6EC9F50A" w14:textId="77777777" w:rsidTr="004E4931">
        <w:tc>
          <w:tcPr>
            <w:tcW w:w="2310" w:type="dxa"/>
          </w:tcPr>
          <w:p w14:paraId="2CBE6243"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Maintenance Payment</w:t>
            </w:r>
          </w:p>
        </w:tc>
        <w:tc>
          <w:tcPr>
            <w:tcW w:w="2310" w:type="dxa"/>
          </w:tcPr>
          <w:p w14:paraId="1ECC618F"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£202.71</w:t>
            </w:r>
          </w:p>
        </w:tc>
        <w:tc>
          <w:tcPr>
            <w:tcW w:w="2311" w:type="dxa"/>
          </w:tcPr>
          <w:p w14:paraId="21C76DCA"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£231.99</w:t>
            </w:r>
          </w:p>
        </w:tc>
        <w:tc>
          <w:tcPr>
            <w:tcW w:w="2311" w:type="dxa"/>
          </w:tcPr>
          <w:p w14:paraId="7ACB92C1"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£270.66</w:t>
            </w:r>
          </w:p>
        </w:tc>
      </w:tr>
      <w:tr w:rsidR="000A0485" w:rsidRPr="00EE5A04" w14:paraId="7D0FC743" w14:textId="77777777" w:rsidTr="004E4931">
        <w:trPr>
          <w:trHeight w:val="285"/>
        </w:trPr>
        <w:tc>
          <w:tcPr>
            <w:tcW w:w="2310" w:type="dxa"/>
          </w:tcPr>
          <w:p w14:paraId="54CA7572"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 xml:space="preserve">Reward Payment </w:t>
            </w:r>
          </w:p>
        </w:tc>
        <w:tc>
          <w:tcPr>
            <w:tcW w:w="2310" w:type="dxa"/>
          </w:tcPr>
          <w:p w14:paraId="76087725"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c>
          <w:tcPr>
            <w:tcW w:w="2311" w:type="dxa"/>
          </w:tcPr>
          <w:p w14:paraId="3DCFB363"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c>
          <w:tcPr>
            <w:tcW w:w="2311" w:type="dxa"/>
          </w:tcPr>
          <w:p w14:paraId="6421BAFF"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r>
      <w:tr w:rsidR="000A0485" w:rsidRPr="00EE5A04" w14:paraId="68819B4A" w14:textId="77777777" w:rsidTr="004E4931">
        <w:tc>
          <w:tcPr>
            <w:tcW w:w="2310" w:type="dxa"/>
          </w:tcPr>
          <w:p w14:paraId="615C547E"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Complex Payment</w:t>
            </w:r>
          </w:p>
        </w:tc>
        <w:tc>
          <w:tcPr>
            <w:tcW w:w="2310" w:type="dxa"/>
          </w:tcPr>
          <w:p w14:paraId="2E22490E"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c>
          <w:tcPr>
            <w:tcW w:w="2311" w:type="dxa"/>
          </w:tcPr>
          <w:p w14:paraId="74596B69"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c>
          <w:tcPr>
            <w:tcW w:w="2311" w:type="dxa"/>
          </w:tcPr>
          <w:p w14:paraId="257A865E"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£258.63</w:t>
            </w:r>
          </w:p>
        </w:tc>
      </w:tr>
      <w:tr w:rsidR="000A0485" w:rsidRPr="00EE5A04" w14:paraId="3DF59B99" w14:textId="77777777" w:rsidTr="004E4931">
        <w:tc>
          <w:tcPr>
            <w:tcW w:w="2310" w:type="dxa"/>
            <w:tcBorders>
              <w:bottom w:val="single" w:sz="4" w:space="0" w:color="auto"/>
            </w:tcBorders>
          </w:tcPr>
          <w:p w14:paraId="4F2F493D"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Total Per Week</w:t>
            </w:r>
          </w:p>
        </w:tc>
        <w:tc>
          <w:tcPr>
            <w:tcW w:w="2310" w:type="dxa"/>
            <w:tcBorders>
              <w:bottom w:val="single" w:sz="4" w:space="0" w:color="auto"/>
            </w:tcBorders>
          </w:tcPr>
          <w:p w14:paraId="64197D74" w14:textId="77777777" w:rsidR="000A0485" w:rsidRPr="008D7A44" w:rsidRDefault="000A0485" w:rsidP="004E4931">
            <w:pPr>
              <w:rPr>
                <w:rFonts w:asciiTheme="minorBidi" w:hAnsiTheme="minorBidi"/>
                <w:b/>
                <w:bCs/>
                <w:sz w:val="24"/>
                <w:szCs w:val="24"/>
              </w:rPr>
            </w:pPr>
            <w:r w:rsidRPr="008D7A44">
              <w:rPr>
                <w:rFonts w:asciiTheme="minorBidi" w:hAnsiTheme="minorBidi"/>
                <w:b/>
                <w:bCs/>
                <w:sz w:val="24"/>
                <w:szCs w:val="24"/>
              </w:rPr>
              <w:t>£719.97</w:t>
            </w:r>
          </w:p>
        </w:tc>
        <w:tc>
          <w:tcPr>
            <w:tcW w:w="2311" w:type="dxa"/>
            <w:tcBorders>
              <w:bottom w:val="single" w:sz="4" w:space="0" w:color="auto"/>
            </w:tcBorders>
          </w:tcPr>
          <w:p w14:paraId="40EEB23E" w14:textId="77777777" w:rsidR="000A0485" w:rsidRPr="008D7A44" w:rsidRDefault="000A0485" w:rsidP="004E4931">
            <w:pPr>
              <w:rPr>
                <w:rFonts w:asciiTheme="minorBidi" w:hAnsiTheme="minorBidi"/>
                <w:b/>
                <w:bCs/>
                <w:sz w:val="24"/>
                <w:szCs w:val="24"/>
              </w:rPr>
            </w:pPr>
            <w:r w:rsidRPr="008D7A44">
              <w:rPr>
                <w:rFonts w:asciiTheme="minorBidi" w:hAnsiTheme="minorBidi"/>
                <w:b/>
                <w:bCs/>
                <w:sz w:val="24"/>
                <w:szCs w:val="24"/>
              </w:rPr>
              <w:t>£749.25</w:t>
            </w:r>
          </w:p>
        </w:tc>
        <w:tc>
          <w:tcPr>
            <w:tcW w:w="2311" w:type="dxa"/>
            <w:tcBorders>
              <w:bottom w:val="single" w:sz="4" w:space="0" w:color="auto"/>
            </w:tcBorders>
          </w:tcPr>
          <w:p w14:paraId="2038CBF8" w14:textId="77777777" w:rsidR="000A0485" w:rsidRPr="008D7A44" w:rsidRDefault="000A0485" w:rsidP="004E4931">
            <w:pPr>
              <w:rPr>
                <w:rFonts w:asciiTheme="minorBidi" w:hAnsiTheme="minorBidi"/>
                <w:b/>
                <w:bCs/>
                <w:sz w:val="24"/>
                <w:szCs w:val="24"/>
              </w:rPr>
            </w:pPr>
            <w:r w:rsidRPr="008D7A44">
              <w:rPr>
                <w:rFonts w:asciiTheme="minorBidi" w:hAnsiTheme="minorBidi"/>
                <w:b/>
                <w:bCs/>
                <w:sz w:val="24"/>
                <w:szCs w:val="24"/>
              </w:rPr>
              <w:t>£787.92</w:t>
            </w:r>
          </w:p>
        </w:tc>
      </w:tr>
      <w:tr w:rsidR="000A0485" w:rsidRPr="00EE5A04" w14:paraId="37D2307F" w14:textId="77777777" w:rsidTr="004E4931">
        <w:tc>
          <w:tcPr>
            <w:tcW w:w="2310" w:type="dxa"/>
            <w:tcBorders>
              <w:top w:val="single" w:sz="4" w:space="0" w:color="auto"/>
              <w:left w:val="single" w:sz="4" w:space="0" w:color="auto"/>
              <w:bottom w:val="single" w:sz="4" w:space="0" w:color="auto"/>
              <w:right w:val="nil"/>
            </w:tcBorders>
            <w:shd w:val="clear" w:color="auto" w:fill="8EAADB" w:themeFill="accent1" w:themeFillTint="99"/>
          </w:tcPr>
          <w:p w14:paraId="125F0065" w14:textId="77777777" w:rsidR="000A0485" w:rsidRPr="00EE5A04" w:rsidRDefault="000A0485" w:rsidP="004E4931">
            <w:pPr>
              <w:rPr>
                <w:rFonts w:asciiTheme="minorBidi" w:hAnsiTheme="minorBidi"/>
                <w:b/>
                <w:bCs/>
                <w:sz w:val="24"/>
                <w:szCs w:val="24"/>
              </w:rPr>
            </w:pPr>
            <w:r w:rsidRPr="00EE5A04">
              <w:rPr>
                <w:rFonts w:asciiTheme="minorBidi" w:hAnsiTheme="minorBidi"/>
                <w:b/>
                <w:bCs/>
                <w:sz w:val="24"/>
                <w:szCs w:val="24"/>
              </w:rPr>
              <w:t>Skilled Level Carer</w:t>
            </w:r>
          </w:p>
          <w:p w14:paraId="619EE4ED" w14:textId="77777777" w:rsidR="000A0485" w:rsidRPr="00EE5A04" w:rsidRDefault="000A0485" w:rsidP="004E4931">
            <w:pPr>
              <w:rPr>
                <w:rFonts w:asciiTheme="minorBidi" w:hAnsiTheme="minorBidi"/>
                <w:sz w:val="24"/>
                <w:szCs w:val="24"/>
              </w:rPr>
            </w:pPr>
          </w:p>
        </w:tc>
        <w:tc>
          <w:tcPr>
            <w:tcW w:w="2310" w:type="dxa"/>
            <w:tcBorders>
              <w:top w:val="single" w:sz="4" w:space="0" w:color="auto"/>
              <w:left w:val="nil"/>
              <w:bottom w:val="single" w:sz="4" w:space="0" w:color="auto"/>
              <w:right w:val="nil"/>
            </w:tcBorders>
            <w:shd w:val="clear" w:color="auto" w:fill="8EAADB" w:themeFill="accent1" w:themeFillTint="99"/>
          </w:tcPr>
          <w:p w14:paraId="27C147D1"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nil"/>
            </w:tcBorders>
            <w:shd w:val="clear" w:color="auto" w:fill="8EAADB" w:themeFill="accent1" w:themeFillTint="99"/>
          </w:tcPr>
          <w:p w14:paraId="3CECF019"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single" w:sz="4" w:space="0" w:color="auto"/>
            </w:tcBorders>
            <w:shd w:val="clear" w:color="auto" w:fill="8EAADB" w:themeFill="accent1" w:themeFillTint="99"/>
          </w:tcPr>
          <w:p w14:paraId="68C3BA62" w14:textId="77777777" w:rsidR="000A0485" w:rsidRPr="00EE5A04" w:rsidRDefault="000A0485" w:rsidP="004E4931">
            <w:pPr>
              <w:rPr>
                <w:rFonts w:asciiTheme="minorBidi" w:hAnsiTheme="minorBidi"/>
                <w:sz w:val="24"/>
                <w:szCs w:val="24"/>
              </w:rPr>
            </w:pPr>
          </w:p>
        </w:tc>
      </w:tr>
      <w:tr w:rsidR="000A0485" w:rsidRPr="00EE5A04" w14:paraId="2713D4D5" w14:textId="77777777" w:rsidTr="004E4931">
        <w:tc>
          <w:tcPr>
            <w:tcW w:w="2310" w:type="dxa"/>
            <w:tcBorders>
              <w:top w:val="single" w:sz="4" w:space="0" w:color="auto"/>
            </w:tcBorders>
          </w:tcPr>
          <w:p w14:paraId="159B4B63"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Maintenance Payment</w:t>
            </w:r>
          </w:p>
        </w:tc>
        <w:tc>
          <w:tcPr>
            <w:tcW w:w="2310" w:type="dxa"/>
            <w:tcBorders>
              <w:top w:val="single" w:sz="4" w:space="0" w:color="auto"/>
            </w:tcBorders>
          </w:tcPr>
          <w:p w14:paraId="01A7C0E1" w14:textId="77777777" w:rsidR="000A0485" w:rsidRPr="00EE5A04" w:rsidRDefault="000A0485" w:rsidP="004E4931">
            <w:pPr>
              <w:rPr>
                <w:rFonts w:asciiTheme="minorBidi" w:hAnsiTheme="minorBidi"/>
                <w:sz w:val="24"/>
                <w:szCs w:val="24"/>
              </w:rPr>
            </w:pPr>
            <w:r>
              <w:rPr>
                <w:rFonts w:asciiTheme="minorBidi" w:hAnsiTheme="minorBidi"/>
                <w:sz w:val="24"/>
                <w:szCs w:val="24"/>
              </w:rPr>
              <w:t>£202.71</w:t>
            </w:r>
          </w:p>
        </w:tc>
        <w:tc>
          <w:tcPr>
            <w:tcW w:w="2311" w:type="dxa"/>
            <w:tcBorders>
              <w:top w:val="single" w:sz="4" w:space="0" w:color="auto"/>
            </w:tcBorders>
          </w:tcPr>
          <w:p w14:paraId="1B9F15C9" w14:textId="77777777" w:rsidR="000A0485" w:rsidRPr="00EE5A04" w:rsidRDefault="000A0485" w:rsidP="004E4931">
            <w:pPr>
              <w:rPr>
                <w:rFonts w:asciiTheme="minorBidi" w:hAnsiTheme="minorBidi"/>
                <w:sz w:val="24"/>
                <w:szCs w:val="24"/>
              </w:rPr>
            </w:pPr>
            <w:r>
              <w:rPr>
                <w:rFonts w:asciiTheme="minorBidi" w:hAnsiTheme="minorBidi"/>
                <w:sz w:val="24"/>
                <w:szCs w:val="24"/>
              </w:rPr>
              <w:t>£231.99</w:t>
            </w:r>
          </w:p>
        </w:tc>
        <w:tc>
          <w:tcPr>
            <w:tcW w:w="2311" w:type="dxa"/>
            <w:tcBorders>
              <w:top w:val="single" w:sz="4" w:space="0" w:color="auto"/>
            </w:tcBorders>
          </w:tcPr>
          <w:p w14:paraId="411393A4" w14:textId="77777777" w:rsidR="000A0485" w:rsidRPr="00EE5A04" w:rsidRDefault="000A0485" w:rsidP="004E4931">
            <w:pPr>
              <w:rPr>
                <w:rFonts w:asciiTheme="minorBidi" w:hAnsiTheme="minorBidi"/>
                <w:sz w:val="24"/>
                <w:szCs w:val="24"/>
              </w:rPr>
            </w:pPr>
            <w:r>
              <w:rPr>
                <w:rFonts w:asciiTheme="minorBidi" w:hAnsiTheme="minorBidi"/>
                <w:sz w:val="24"/>
                <w:szCs w:val="24"/>
              </w:rPr>
              <w:t>£270.66</w:t>
            </w:r>
          </w:p>
        </w:tc>
      </w:tr>
      <w:tr w:rsidR="000A0485" w:rsidRPr="00EE5A04" w14:paraId="37F30BBC" w14:textId="77777777" w:rsidTr="004E4931">
        <w:tc>
          <w:tcPr>
            <w:tcW w:w="2310" w:type="dxa"/>
          </w:tcPr>
          <w:p w14:paraId="3ED8ADDF"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Reward Payment</w:t>
            </w:r>
          </w:p>
        </w:tc>
        <w:tc>
          <w:tcPr>
            <w:tcW w:w="2310" w:type="dxa"/>
          </w:tcPr>
          <w:p w14:paraId="19930A39" w14:textId="77777777" w:rsidR="000A0485" w:rsidRPr="00EE5A04" w:rsidRDefault="000A0485" w:rsidP="004E4931">
            <w:pPr>
              <w:rPr>
                <w:rFonts w:asciiTheme="minorBidi" w:hAnsiTheme="minorBidi"/>
                <w:sz w:val="24"/>
                <w:szCs w:val="24"/>
              </w:rPr>
            </w:pPr>
            <w:r w:rsidRPr="00F92680">
              <w:rPr>
                <w:rFonts w:ascii="Arial" w:hAnsi="Arial" w:cs="Arial"/>
                <w:sz w:val="24"/>
                <w:szCs w:val="24"/>
              </w:rPr>
              <w:t>£</w:t>
            </w:r>
            <w:r>
              <w:rPr>
                <w:rFonts w:ascii="Arial" w:hAnsi="Arial" w:cs="Arial"/>
                <w:sz w:val="24"/>
                <w:szCs w:val="24"/>
              </w:rPr>
              <w:t>283.34</w:t>
            </w:r>
          </w:p>
        </w:tc>
        <w:tc>
          <w:tcPr>
            <w:tcW w:w="2311" w:type="dxa"/>
          </w:tcPr>
          <w:p w14:paraId="38FBE7C0" w14:textId="77777777" w:rsidR="000A0485" w:rsidRPr="00EE5A04" w:rsidRDefault="000A0485" w:rsidP="004E4931">
            <w:pPr>
              <w:rPr>
                <w:rFonts w:asciiTheme="minorBidi" w:hAnsiTheme="minorBidi"/>
                <w:sz w:val="24"/>
                <w:szCs w:val="24"/>
              </w:rPr>
            </w:pPr>
            <w:r w:rsidRPr="00F92680">
              <w:rPr>
                <w:rFonts w:ascii="Arial" w:hAnsi="Arial" w:cs="Arial"/>
                <w:sz w:val="24"/>
                <w:szCs w:val="24"/>
              </w:rPr>
              <w:t>£</w:t>
            </w:r>
            <w:r>
              <w:rPr>
                <w:rFonts w:ascii="Arial" w:hAnsi="Arial" w:cs="Arial"/>
                <w:sz w:val="24"/>
                <w:szCs w:val="24"/>
              </w:rPr>
              <w:t>283.34</w:t>
            </w:r>
          </w:p>
        </w:tc>
        <w:tc>
          <w:tcPr>
            <w:tcW w:w="2311" w:type="dxa"/>
          </w:tcPr>
          <w:p w14:paraId="32F68FAF" w14:textId="77777777" w:rsidR="000A0485" w:rsidRPr="00EE5A04" w:rsidRDefault="000A0485" w:rsidP="004E4931">
            <w:pPr>
              <w:rPr>
                <w:rFonts w:asciiTheme="minorBidi" w:hAnsiTheme="minorBidi"/>
                <w:sz w:val="24"/>
                <w:szCs w:val="24"/>
              </w:rPr>
            </w:pPr>
            <w:r w:rsidRPr="00F92680">
              <w:rPr>
                <w:rFonts w:ascii="Arial" w:hAnsi="Arial" w:cs="Arial"/>
                <w:sz w:val="24"/>
                <w:szCs w:val="24"/>
              </w:rPr>
              <w:t>£</w:t>
            </w:r>
            <w:r>
              <w:rPr>
                <w:rFonts w:ascii="Arial" w:hAnsi="Arial" w:cs="Arial"/>
                <w:sz w:val="24"/>
                <w:szCs w:val="24"/>
              </w:rPr>
              <w:t>283.34</w:t>
            </w:r>
          </w:p>
        </w:tc>
      </w:tr>
      <w:tr w:rsidR="000A0485" w:rsidRPr="00EE5A04" w14:paraId="7FE9C3DD" w14:textId="77777777" w:rsidTr="004E4931">
        <w:tc>
          <w:tcPr>
            <w:tcW w:w="2310" w:type="dxa"/>
          </w:tcPr>
          <w:p w14:paraId="0215F900"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Complex Payment</w:t>
            </w:r>
          </w:p>
        </w:tc>
        <w:tc>
          <w:tcPr>
            <w:tcW w:w="2310" w:type="dxa"/>
          </w:tcPr>
          <w:p w14:paraId="1FFE3657"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c>
          <w:tcPr>
            <w:tcW w:w="2311" w:type="dxa"/>
          </w:tcPr>
          <w:p w14:paraId="76776A11"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c>
          <w:tcPr>
            <w:tcW w:w="2311" w:type="dxa"/>
          </w:tcPr>
          <w:p w14:paraId="5E2D0370"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r>
      <w:tr w:rsidR="000A0485" w:rsidRPr="00EE5A04" w14:paraId="54DDEC26" w14:textId="77777777" w:rsidTr="004E4931">
        <w:tc>
          <w:tcPr>
            <w:tcW w:w="2310" w:type="dxa"/>
            <w:tcBorders>
              <w:bottom w:val="single" w:sz="4" w:space="0" w:color="auto"/>
            </w:tcBorders>
          </w:tcPr>
          <w:p w14:paraId="460BEFDE"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Total per Week</w:t>
            </w:r>
          </w:p>
        </w:tc>
        <w:tc>
          <w:tcPr>
            <w:tcW w:w="2310" w:type="dxa"/>
            <w:tcBorders>
              <w:bottom w:val="single" w:sz="4" w:space="0" w:color="auto"/>
            </w:tcBorders>
          </w:tcPr>
          <w:p w14:paraId="52FDF7C8" w14:textId="77777777" w:rsidR="000A0485" w:rsidRPr="00EE5A04" w:rsidRDefault="000A0485" w:rsidP="004E4931">
            <w:pPr>
              <w:rPr>
                <w:rFonts w:asciiTheme="minorBidi" w:hAnsiTheme="minorBidi"/>
                <w:sz w:val="24"/>
                <w:szCs w:val="24"/>
              </w:rPr>
            </w:pPr>
            <w:r w:rsidRPr="00F92680">
              <w:rPr>
                <w:rFonts w:ascii="Arial" w:hAnsi="Arial" w:cs="Arial"/>
                <w:b/>
                <w:bCs/>
                <w:sz w:val="24"/>
                <w:szCs w:val="24"/>
              </w:rPr>
              <w:t>£</w:t>
            </w:r>
            <w:r>
              <w:rPr>
                <w:rFonts w:ascii="Arial" w:hAnsi="Arial" w:cs="Arial"/>
                <w:b/>
                <w:bCs/>
                <w:sz w:val="24"/>
                <w:szCs w:val="24"/>
              </w:rPr>
              <w:t>744.68</w:t>
            </w:r>
          </w:p>
        </w:tc>
        <w:tc>
          <w:tcPr>
            <w:tcW w:w="2311" w:type="dxa"/>
            <w:tcBorders>
              <w:bottom w:val="single" w:sz="4" w:space="0" w:color="auto"/>
            </w:tcBorders>
          </w:tcPr>
          <w:p w14:paraId="74178F37" w14:textId="77777777" w:rsidR="000A0485" w:rsidRPr="00EE5A04" w:rsidRDefault="000A0485" w:rsidP="004E4931">
            <w:pPr>
              <w:rPr>
                <w:rFonts w:asciiTheme="minorBidi" w:hAnsiTheme="minorBidi"/>
                <w:sz w:val="24"/>
                <w:szCs w:val="24"/>
              </w:rPr>
            </w:pPr>
            <w:r w:rsidRPr="00F92680">
              <w:rPr>
                <w:rFonts w:ascii="Arial" w:hAnsi="Arial" w:cs="Arial"/>
                <w:b/>
                <w:bCs/>
                <w:sz w:val="24"/>
                <w:szCs w:val="24"/>
              </w:rPr>
              <w:t>£</w:t>
            </w:r>
            <w:r>
              <w:rPr>
                <w:rFonts w:ascii="Arial" w:hAnsi="Arial" w:cs="Arial"/>
                <w:b/>
                <w:bCs/>
                <w:sz w:val="24"/>
                <w:szCs w:val="24"/>
              </w:rPr>
              <w:t>773.96</w:t>
            </w:r>
          </w:p>
        </w:tc>
        <w:tc>
          <w:tcPr>
            <w:tcW w:w="2311" w:type="dxa"/>
            <w:tcBorders>
              <w:bottom w:val="single" w:sz="4" w:space="0" w:color="auto"/>
            </w:tcBorders>
          </w:tcPr>
          <w:p w14:paraId="46DE2FD5" w14:textId="77777777" w:rsidR="000A0485" w:rsidRPr="00EE5A04" w:rsidRDefault="000A0485" w:rsidP="004E4931">
            <w:pPr>
              <w:ind w:right="-143"/>
              <w:rPr>
                <w:rFonts w:asciiTheme="minorBidi" w:hAnsiTheme="minorBidi"/>
                <w:sz w:val="24"/>
                <w:szCs w:val="24"/>
              </w:rPr>
            </w:pPr>
            <w:r w:rsidRPr="00F92680">
              <w:rPr>
                <w:rFonts w:ascii="Arial" w:hAnsi="Arial" w:cs="Arial"/>
                <w:b/>
                <w:bCs/>
                <w:sz w:val="24"/>
                <w:szCs w:val="24"/>
              </w:rPr>
              <w:t>£</w:t>
            </w:r>
            <w:r>
              <w:rPr>
                <w:rFonts w:ascii="Arial" w:hAnsi="Arial" w:cs="Arial"/>
                <w:b/>
                <w:bCs/>
                <w:sz w:val="24"/>
                <w:szCs w:val="24"/>
              </w:rPr>
              <w:t>812.63</w:t>
            </w:r>
          </w:p>
        </w:tc>
      </w:tr>
      <w:tr w:rsidR="000A0485" w:rsidRPr="00EE5A04" w14:paraId="41D7C5F6" w14:textId="77777777" w:rsidTr="004E4931">
        <w:tc>
          <w:tcPr>
            <w:tcW w:w="2310" w:type="dxa"/>
            <w:tcBorders>
              <w:top w:val="single" w:sz="4" w:space="0" w:color="auto"/>
              <w:left w:val="single" w:sz="4" w:space="0" w:color="auto"/>
              <w:bottom w:val="single" w:sz="4" w:space="0" w:color="auto"/>
              <w:right w:val="nil"/>
            </w:tcBorders>
            <w:shd w:val="clear" w:color="auto" w:fill="8EAADB" w:themeFill="accent1" w:themeFillTint="99"/>
          </w:tcPr>
          <w:p w14:paraId="60B94B9D" w14:textId="77777777" w:rsidR="000A0485" w:rsidRPr="00EE5A04" w:rsidRDefault="000A0485" w:rsidP="004E4931">
            <w:pPr>
              <w:rPr>
                <w:rFonts w:asciiTheme="minorBidi" w:hAnsiTheme="minorBidi"/>
                <w:b/>
                <w:bCs/>
                <w:sz w:val="24"/>
                <w:szCs w:val="24"/>
              </w:rPr>
            </w:pPr>
            <w:r w:rsidRPr="00EE5A04">
              <w:rPr>
                <w:rFonts w:asciiTheme="minorBidi" w:hAnsiTheme="minorBidi"/>
                <w:b/>
                <w:bCs/>
                <w:sz w:val="24"/>
                <w:szCs w:val="24"/>
              </w:rPr>
              <w:t>Advanced Level Carer</w:t>
            </w:r>
          </w:p>
        </w:tc>
        <w:tc>
          <w:tcPr>
            <w:tcW w:w="2310" w:type="dxa"/>
            <w:tcBorders>
              <w:top w:val="single" w:sz="4" w:space="0" w:color="auto"/>
              <w:left w:val="nil"/>
              <w:bottom w:val="single" w:sz="4" w:space="0" w:color="auto"/>
              <w:right w:val="nil"/>
            </w:tcBorders>
            <w:shd w:val="clear" w:color="auto" w:fill="8EAADB" w:themeFill="accent1" w:themeFillTint="99"/>
          </w:tcPr>
          <w:p w14:paraId="3F96AFC2"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nil"/>
            </w:tcBorders>
            <w:shd w:val="clear" w:color="auto" w:fill="8EAADB" w:themeFill="accent1" w:themeFillTint="99"/>
          </w:tcPr>
          <w:p w14:paraId="12E18AA2" w14:textId="77777777" w:rsidR="000A0485" w:rsidRPr="00EE5A04" w:rsidRDefault="000A0485" w:rsidP="004E4931">
            <w:pPr>
              <w:rPr>
                <w:rFonts w:asciiTheme="minorBidi" w:hAnsiTheme="minorBidi"/>
                <w:sz w:val="24"/>
                <w:szCs w:val="24"/>
              </w:rPr>
            </w:pPr>
          </w:p>
        </w:tc>
        <w:tc>
          <w:tcPr>
            <w:tcW w:w="2311" w:type="dxa"/>
            <w:tcBorders>
              <w:top w:val="single" w:sz="4" w:space="0" w:color="auto"/>
              <w:left w:val="nil"/>
              <w:bottom w:val="single" w:sz="4" w:space="0" w:color="auto"/>
              <w:right w:val="single" w:sz="4" w:space="0" w:color="auto"/>
            </w:tcBorders>
            <w:shd w:val="clear" w:color="auto" w:fill="8EAADB" w:themeFill="accent1" w:themeFillTint="99"/>
          </w:tcPr>
          <w:p w14:paraId="71902491" w14:textId="77777777" w:rsidR="000A0485" w:rsidRPr="00EE5A04" w:rsidRDefault="000A0485" w:rsidP="004E4931">
            <w:pPr>
              <w:rPr>
                <w:rFonts w:asciiTheme="minorBidi" w:hAnsiTheme="minorBidi"/>
                <w:sz w:val="24"/>
                <w:szCs w:val="24"/>
              </w:rPr>
            </w:pPr>
          </w:p>
        </w:tc>
      </w:tr>
      <w:tr w:rsidR="000A0485" w:rsidRPr="00EE5A04" w14:paraId="64789D70" w14:textId="77777777" w:rsidTr="004E4931">
        <w:tc>
          <w:tcPr>
            <w:tcW w:w="2310" w:type="dxa"/>
            <w:tcBorders>
              <w:top w:val="single" w:sz="4" w:space="0" w:color="auto"/>
            </w:tcBorders>
          </w:tcPr>
          <w:p w14:paraId="0DD24ECE"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Maintenance Payment</w:t>
            </w:r>
          </w:p>
        </w:tc>
        <w:tc>
          <w:tcPr>
            <w:tcW w:w="2310" w:type="dxa"/>
            <w:tcBorders>
              <w:top w:val="single" w:sz="4" w:space="0" w:color="auto"/>
            </w:tcBorders>
          </w:tcPr>
          <w:p w14:paraId="5825DF8B" w14:textId="77777777" w:rsidR="000A0485" w:rsidRPr="00EE5A04" w:rsidRDefault="000A0485" w:rsidP="004E4931">
            <w:pPr>
              <w:rPr>
                <w:rFonts w:asciiTheme="minorBidi" w:hAnsiTheme="minorBidi"/>
                <w:sz w:val="24"/>
                <w:szCs w:val="24"/>
              </w:rPr>
            </w:pPr>
            <w:r>
              <w:rPr>
                <w:rFonts w:asciiTheme="minorBidi" w:hAnsiTheme="minorBidi"/>
                <w:sz w:val="24"/>
                <w:szCs w:val="24"/>
              </w:rPr>
              <w:t>£202.71</w:t>
            </w:r>
          </w:p>
        </w:tc>
        <w:tc>
          <w:tcPr>
            <w:tcW w:w="2311" w:type="dxa"/>
            <w:tcBorders>
              <w:top w:val="single" w:sz="4" w:space="0" w:color="auto"/>
            </w:tcBorders>
          </w:tcPr>
          <w:p w14:paraId="3FFDC5DE" w14:textId="77777777" w:rsidR="000A0485" w:rsidRPr="00EE5A04" w:rsidRDefault="000A0485" w:rsidP="004E4931">
            <w:pPr>
              <w:rPr>
                <w:rFonts w:asciiTheme="minorBidi" w:hAnsiTheme="minorBidi"/>
                <w:sz w:val="24"/>
                <w:szCs w:val="24"/>
              </w:rPr>
            </w:pPr>
            <w:r>
              <w:rPr>
                <w:rFonts w:asciiTheme="minorBidi" w:hAnsiTheme="minorBidi"/>
                <w:sz w:val="24"/>
                <w:szCs w:val="24"/>
              </w:rPr>
              <w:t>£231.99</w:t>
            </w:r>
          </w:p>
        </w:tc>
        <w:tc>
          <w:tcPr>
            <w:tcW w:w="2311" w:type="dxa"/>
            <w:tcBorders>
              <w:top w:val="single" w:sz="4" w:space="0" w:color="auto"/>
            </w:tcBorders>
          </w:tcPr>
          <w:p w14:paraId="059C9E7C" w14:textId="77777777" w:rsidR="000A0485" w:rsidRPr="00EE5A04" w:rsidRDefault="000A0485" w:rsidP="004E4931">
            <w:pPr>
              <w:rPr>
                <w:rFonts w:asciiTheme="minorBidi" w:hAnsiTheme="minorBidi"/>
                <w:sz w:val="24"/>
                <w:szCs w:val="24"/>
              </w:rPr>
            </w:pPr>
            <w:r>
              <w:rPr>
                <w:rFonts w:asciiTheme="minorBidi" w:hAnsiTheme="minorBidi"/>
                <w:sz w:val="24"/>
                <w:szCs w:val="24"/>
              </w:rPr>
              <w:t>£270.66</w:t>
            </w:r>
          </w:p>
        </w:tc>
      </w:tr>
      <w:tr w:rsidR="000A0485" w:rsidRPr="00EE5A04" w14:paraId="2EB5B08F" w14:textId="77777777" w:rsidTr="004E4931">
        <w:tc>
          <w:tcPr>
            <w:tcW w:w="2310" w:type="dxa"/>
          </w:tcPr>
          <w:p w14:paraId="023CB9D8"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Reward Payment</w:t>
            </w:r>
          </w:p>
        </w:tc>
        <w:tc>
          <w:tcPr>
            <w:tcW w:w="2310" w:type="dxa"/>
          </w:tcPr>
          <w:p w14:paraId="6EB23303" w14:textId="77777777" w:rsidR="000A0485" w:rsidRPr="00EE5A04" w:rsidRDefault="000A0485" w:rsidP="004E4931">
            <w:pPr>
              <w:rPr>
                <w:rFonts w:asciiTheme="minorBidi" w:hAnsiTheme="minorBidi"/>
                <w:sz w:val="24"/>
                <w:szCs w:val="24"/>
              </w:rPr>
            </w:pPr>
            <w:r>
              <w:rPr>
                <w:rFonts w:ascii="Arial" w:hAnsi="Arial" w:cs="Arial"/>
                <w:sz w:val="24"/>
                <w:szCs w:val="24"/>
              </w:rPr>
              <w:t>£320.36</w:t>
            </w:r>
          </w:p>
        </w:tc>
        <w:tc>
          <w:tcPr>
            <w:tcW w:w="2311" w:type="dxa"/>
          </w:tcPr>
          <w:p w14:paraId="455BE5FD" w14:textId="77777777" w:rsidR="000A0485" w:rsidRPr="00EE5A04" w:rsidRDefault="000A0485" w:rsidP="004E4931">
            <w:pPr>
              <w:rPr>
                <w:rFonts w:asciiTheme="minorBidi" w:hAnsiTheme="minorBidi"/>
                <w:sz w:val="24"/>
                <w:szCs w:val="24"/>
              </w:rPr>
            </w:pPr>
            <w:r>
              <w:rPr>
                <w:rFonts w:ascii="Arial" w:hAnsi="Arial" w:cs="Arial"/>
                <w:sz w:val="24"/>
                <w:szCs w:val="24"/>
              </w:rPr>
              <w:t>£320.36</w:t>
            </w:r>
          </w:p>
        </w:tc>
        <w:tc>
          <w:tcPr>
            <w:tcW w:w="2311" w:type="dxa"/>
          </w:tcPr>
          <w:p w14:paraId="7192FB0A" w14:textId="77777777" w:rsidR="000A0485" w:rsidRPr="00EE5A04" w:rsidRDefault="000A0485" w:rsidP="004E4931">
            <w:pPr>
              <w:rPr>
                <w:rFonts w:asciiTheme="minorBidi" w:hAnsiTheme="minorBidi"/>
                <w:sz w:val="24"/>
                <w:szCs w:val="24"/>
              </w:rPr>
            </w:pPr>
            <w:r>
              <w:rPr>
                <w:rFonts w:ascii="Arial" w:hAnsi="Arial" w:cs="Arial"/>
                <w:sz w:val="24"/>
                <w:szCs w:val="24"/>
              </w:rPr>
              <w:t>£320.36</w:t>
            </w:r>
          </w:p>
        </w:tc>
      </w:tr>
      <w:tr w:rsidR="000A0485" w:rsidRPr="00EE5A04" w14:paraId="41D9AAB5" w14:textId="77777777" w:rsidTr="004E4931">
        <w:tc>
          <w:tcPr>
            <w:tcW w:w="2310" w:type="dxa"/>
          </w:tcPr>
          <w:p w14:paraId="0B433698"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Complex Payment</w:t>
            </w:r>
          </w:p>
        </w:tc>
        <w:tc>
          <w:tcPr>
            <w:tcW w:w="2310" w:type="dxa"/>
          </w:tcPr>
          <w:p w14:paraId="2C921420"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c>
          <w:tcPr>
            <w:tcW w:w="2311" w:type="dxa"/>
          </w:tcPr>
          <w:p w14:paraId="7B1ADE39"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c>
          <w:tcPr>
            <w:tcW w:w="2311" w:type="dxa"/>
          </w:tcPr>
          <w:p w14:paraId="50CC1F4D" w14:textId="77777777" w:rsidR="000A0485" w:rsidRPr="00EE5A04" w:rsidRDefault="000A0485" w:rsidP="004E4931">
            <w:pPr>
              <w:rPr>
                <w:rFonts w:asciiTheme="minorBidi" w:hAnsiTheme="minorBidi"/>
                <w:sz w:val="24"/>
                <w:szCs w:val="24"/>
              </w:rPr>
            </w:pPr>
            <w:r>
              <w:rPr>
                <w:rFonts w:ascii="Arial" w:hAnsi="Arial" w:cs="Arial"/>
                <w:sz w:val="24"/>
                <w:szCs w:val="24"/>
              </w:rPr>
              <w:t>£258.63</w:t>
            </w:r>
          </w:p>
        </w:tc>
      </w:tr>
      <w:tr w:rsidR="000A0485" w:rsidRPr="00EE5A04" w14:paraId="1081BAB5" w14:textId="77777777" w:rsidTr="004E4931">
        <w:tc>
          <w:tcPr>
            <w:tcW w:w="2310" w:type="dxa"/>
          </w:tcPr>
          <w:p w14:paraId="5676C482" w14:textId="77777777" w:rsidR="000A0485" w:rsidRPr="00EE5A04" w:rsidRDefault="000A0485" w:rsidP="004E4931">
            <w:pPr>
              <w:rPr>
                <w:rFonts w:asciiTheme="minorBidi" w:hAnsiTheme="minorBidi"/>
                <w:sz w:val="24"/>
                <w:szCs w:val="24"/>
              </w:rPr>
            </w:pPr>
            <w:r w:rsidRPr="00EE5A04">
              <w:rPr>
                <w:rFonts w:asciiTheme="minorBidi" w:hAnsiTheme="minorBidi"/>
                <w:sz w:val="24"/>
                <w:szCs w:val="24"/>
              </w:rPr>
              <w:t>Total per Week</w:t>
            </w:r>
          </w:p>
        </w:tc>
        <w:tc>
          <w:tcPr>
            <w:tcW w:w="2310" w:type="dxa"/>
          </w:tcPr>
          <w:p w14:paraId="255D9881" w14:textId="77777777" w:rsidR="000A0485" w:rsidRPr="00EE5A04" w:rsidRDefault="000A0485" w:rsidP="004E4931">
            <w:pPr>
              <w:rPr>
                <w:rFonts w:asciiTheme="minorBidi" w:hAnsiTheme="minorBidi"/>
                <w:sz w:val="24"/>
                <w:szCs w:val="24"/>
              </w:rPr>
            </w:pPr>
            <w:r w:rsidRPr="00F92680">
              <w:rPr>
                <w:rFonts w:ascii="Arial" w:hAnsi="Arial" w:cs="Arial"/>
                <w:b/>
                <w:bCs/>
                <w:sz w:val="24"/>
                <w:szCs w:val="24"/>
              </w:rPr>
              <w:t>£</w:t>
            </w:r>
            <w:r>
              <w:rPr>
                <w:rFonts w:ascii="Arial" w:hAnsi="Arial" w:cs="Arial"/>
                <w:b/>
                <w:bCs/>
                <w:sz w:val="24"/>
                <w:szCs w:val="24"/>
              </w:rPr>
              <w:t>781.70</w:t>
            </w:r>
          </w:p>
        </w:tc>
        <w:tc>
          <w:tcPr>
            <w:tcW w:w="2311" w:type="dxa"/>
          </w:tcPr>
          <w:p w14:paraId="12B04836" w14:textId="77777777" w:rsidR="000A0485" w:rsidRPr="00EE5A04" w:rsidRDefault="000A0485" w:rsidP="004E4931">
            <w:pPr>
              <w:rPr>
                <w:rFonts w:asciiTheme="minorBidi" w:hAnsiTheme="minorBidi"/>
                <w:sz w:val="24"/>
                <w:szCs w:val="24"/>
              </w:rPr>
            </w:pPr>
            <w:r w:rsidRPr="00F92680">
              <w:rPr>
                <w:rFonts w:ascii="Arial" w:hAnsi="Arial" w:cs="Arial"/>
                <w:b/>
                <w:bCs/>
                <w:sz w:val="24"/>
                <w:szCs w:val="24"/>
              </w:rPr>
              <w:t>£</w:t>
            </w:r>
            <w:r>
              <w:rPr>
                <w:rFonts w:ascii="Arial" w:hAnsi="Arial" w:cs="Arial"/>
                <w:b/>
                <w:bCs/>
                <w:sz w:val="24"/>
                <w:szCs w:val="24"/>
              </w:rPr>
              <w:t>810.98</w:t>
            </w:r>
          </w:p>
        </w:tc>
        <w:tc>
          <w:tcPr>
            <w:tcW w:w="2311" w:type="dxa"/>
          </w:tcPr>
          <w:p w14:paraId="0FCEEDB4" w14:textId="77777777" w:rsidR="000A0485" w:rsidRPr="008D7A44" w:rsidRDefault="000A0485" w:rsidP="004E4931">
            <w:pPr>
              <w:rPr>
                <w:rFonts w:asciiTheme="minorBidi" w:hAnsiTheme="minorBidi"/>
                <w:b/>
                <w:bCs/>
                <w:sz w:val="24"/>
                <w:szCs w:val="24"/>
              </w:rPr>
            </w:pPr>
            <w:r w:rsidRPr="008D7A44">
              <w:rPr>
                <w:rFonts w:asciiTheme="minorBidi" w:hAnsiTheme="minorBidi"/>
                <w:b/>
                <w:bCs/>
                <w:sz w:val="24"/>
                <w:szCs w:val="24"/>
              </w:rPr>
              <w:t>£849.65</w:t>
            </w:r>
          </w:p>
        </w:tc>
      </w:tr>
    </w:tbl>
    <w:p w14:paraId="5BE45A97" w14:textId="77777777" w:rsidR="000A0485" w:rsidRPr="00C2753E" w:rsidRDefault="000A0485" w:rsidP="000A0485">
      <w:pPr>
        <w:pStyle w:val="ListParagraph"/>
        <w:spacing w:after="0" w:line="360" w:lineRule="auto"/>
        <w:ind w:left="284"/>
        <w:rPr>
          <w:rFonts w:ascii="Arial" w:hAnsi="Arial" w:cs="Arial"/>
          <w:b/>
          <w:bCs/>
          <w:color w:val="2E74B5" w:themeColor="accent5" w:themeShade="BF"/>
          <w:sz w:val="24"/>
          <w:szCs w:val="24"/>
        </w:rPr>
      </w:pPr>
    </w:p>
    <w:p w14:paraId="62742C78" w14:textId="77777777" w:rsidR="000A0485" w:rsidRDefault="000A0485" w:rsidP="000A0485">
      <w:pPr>
        <w:pStyle w:val="NormalWeb"/>
        <w:spacing w:line="276" w:lineRule="auto"/>
        <w:jc w:val="both"/>
        <w:rPr>
          <w:rFonts w:ascii="Arial" w:hAnsi="Arial" w:cs="Arial"/>
          <w:b/>
          <w:bCs/>
        </w:rPr>
      </w:pPr>
      <w:r w:rsidRPr="00D9115C">
        <w:rPr>
          <w:rFonts w:ascii="Arial" w:hAnsi="Arial" w:cs="Arial"/>
          <w:b/>
          <w:bCs/>
        </w:rPr>
        <w:t>Settling in and Retention Payments</w:t>
      </w:r>
    </w:p>
    <w:p w14:paraId="1DDADABA" w14:textId="77777777" w:rsidR="000A0485" w:rsidRPr="008B70DF" w:rsidRDefault="000A0485" w:rsidP="000A0485">
      <w:pPr>
        <w:pStyle w:val="NormalWeb"/>
        <w:spacing w:line="276" w:lineRule="auto"/>
        <w:jc w:val="both"/>
        <w:rPr>
          <w:rFonts w:ascii="Arial" w:hAnsi="Arial" w:cs="Arial"/>
        </w:rPr>
      </w:pPr>
      <w:r w:rsidRPr="008B70DF">
        <w:rPr>
          <w:rFonts w:ascii="Arial" w:hAnsi="Arial" w:cs="Arial"/>
        </w:rPr>
        <w:t xml:space="preserve">Foster Carers will receive: </w:t>
      </w:r>
    </w:p>
    <w:tbl>
      <w:tblPr>
        <w:tblStyle w:val="TableGrid"/>
        <w:tblW w:w="0" w:type="auto"/>
        <w:tblLook w:val="04A0" w:firstRow="1" w:lastRow="0" w:firstColumn="1" w:lastColumn="0" w:noHBand="0" w:noVBand="1"/>
      </w:tblPr>
      <w:tblGrid>
        <w:gridCol w:w="4392"/>
        <w:gridCol w:w="4374"/>
      </w:tblGrid>
      <w:tr w:rsidR="000A0485" w14:paraId="4A85E3FC" w14:textId="77777777" w:rsidTr="004E4931">
        <w:tc>
          <w:tcPr>
            <w:tcW w:w="4621" w:type="dxa"/>
            <w:shd w:val="clear" w:color="auto" w:fill="8EAADB" w:themeFill="accent1" w:themeFillTint="99"/>
          </w:tcPr>
          <w:p w14:paraId="7005D0F5" w14:textId="77777777" w:rsidR="000A0485" w:rsidRDefault="000A0485" w:rsidP="004E4931">
            <w:pPr>
              <w:pStyle w:val="NormalWeb"/>
              <w:spacing w:line="276" w:lineRule="auto"/>
              <w:jc w:val="both"/>
              <w:rPr>
                <w:rFonts w:ascii="Arial" w:hAnsi="Arial" w:cs="Arial"/>
                <w:b/>
                <w:bCs/>
              </w:rPr>
            </w:pPr>
            <w:r>
              <w:rPr>
                <w:rFonts w:ascii="Arial" w:hAnsi="Arial" w:cs="Arial"/>
                <w:b/>
                <w:bCs/>
              </w:rPr>
              <w:t xml:space="preserve">Timescale </w:t>
            </w:r>
          </w:p>
        </w:tc>
        <w:tc>
          <w:tcPr>
            <w:tcW w:w="4621" w:type="dxa"/>
            <w:shd w:val="clear" w:color="auto" w:fill="8EAADB" w:themeFill="accent1" w:themeFillTint="99"/>
          </w:tcPr>
          <w:p w14:paraId="2A2E3A78" w14:textId="77777777" w:rsidR="000A0485" w:rsidRDefault="000A0485" w:rsidP="004E4931">
            <w:pPr>
              <w:pStyle w:val="NormalWeb"/>
              <w:spacing w:line="276" w:lineRule="auto"/>
              <w:jc w:val="both"/>
              <w:rPr>
                <w:rFonts w:ascii="Arial" w:hAnsi="Arial" w:cs="Arial"/>
                <w:b/>
                <w:bCs/>
              </w:rPr>
            </w:pPr>
            <w:r>
              <w:rPr>
                <w:rFonts w:ascii="Arial" w:hAnsi="Arial" w:cs="Arial"/>
                <w:b/>
                <w:bCs/>
              </w:rPr>
              <w:t xml:space="preserve">Amount </w:t>
            </w:r>
          </w:p>
        </w:tc>
      </w:tr>
      <w:tr w:rsidR="000A0485" w14:paraId="44600F71" w14:textId="77777777" w:rsidTr="004E4931">
        <w:tc>
          <w:tcPr>
            <w:tcW w:w="4621" w:type="dxa"/>
          </w:tcPr>
          <w:p w14:paraId="0D8824F3"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 xml:space="preserve">Paid at end of month one: One off “Settling-In Payment” </w:t>
            </w:r>
          </w:p>
        </w:tc>
        <w:tc>
          <w:tcPr>
            <w:tcW w:w="4621" w:type="dxa"/>
          </w:tcPr>
          <w:p w14:paraId="3AFE2F0E"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£5,000</w:t>
            </w:r>
          </w:p>
        </w:tc>
      </w:tr>
      <w:tr w:rsidR="000A0485" w14:paraId="51E14AFB" w14:textId="77777777" w:rsidTr="004E4931">
        <w:tc>
          <w:tcPr>
            <w:tcW w:w="4621" w:type="dxa"/>
          </w:tcPr>
          <w:p w14:paraId="343D3659"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4th Month Retention Reward Payment</w:t>
            </w:r>
          </w:p>
        </w:tc>
        <w:tc>
          <w:tcPr>
            <w:tcW w:w="4621" w:type="dxa"/>
          </w:tcPr>
          <w:p w14:paraId="2B5AB512"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£2,500</w:t>
            </w:r>
          </w:p>
        </w:tc>
      </w:tr>
      <w:tr w:rsidR="000A0485" w14:paraId="5D708001" w14:textId="77777777" w:rsidTr="004E4931">
        <w:tc>
          <w:tcPr>
            <w:tcW w:w="4621" w:type="dxa"/>
          </w:tcPr>
          <w:p w14:paraId="4B06580C"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8</w:t>
            </w:r>
            <w:r w:rsidRPr="00C2753E">
              <w:rPr>
                <w:rFonts w:ascii="Arial" w:hAnsi="Arial" w:cs="Arial"/>
                <w:vertAlign w:val="superscript"/>
              </w:rPr>
              <w:t>th</w:t>
            </w:r>
            <w:r w:rsidRPr="00C2753E">
              <w:rPr>
                <w:rFonts w:ascii="Arial" w:hAnsi="Arial" w:cs="Arial"/>
              </w:rPr>
              <w:t xml:space="preserve"> Month Retention Reward Payment</w:t>
            </w:r>
          </w:p>
        </w:tc>
        <w:tc>
          <w:tcPr>
            <w:tcW w:w="4621" w:type="dxa"/>
          </w:tcPr>
          <w:p w14:paraId="4D6CAE88"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£2,500</w:t>
            </w:r>
          </w:p>
        </w:tc>
      </w:tr>
      <w:tr w:rsidR="000A0485" w14:paraId="567F61C6" w14:textId="77777777" w:rsidTr="004E4931">
        <w:tc>
          <w:tcPr>
            <w:tcW w:w="4621" w:type="dxa"/>
          </w:tcPr>
          <w:p w14:paraId="3FEB9615"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12</w:t>
            </w:r>
            <w:r w:rsidRPr="00C2753E">
              <w:rPr>
                <w:rFonts w:ascii="Arial" w:hAnsi="Arial" w:cs="Arial"/>
                <w:vertAlign w:val="superscript"/>
              </w:rPr>
              <w:t>th</w:t>
            </w:r>
            <w:r w:rsidRPr="00C2753E">
              <w:rPr>
                <w:rFonts w:ascii="Arial" w:hAnsi="Arial" w:cs="Arial"/>
              </w:rPr>
              <w:t xml:space="preserve"> Month Retention Reward Payment</w:t>
            </w:r>
          </w:p>
        </w:tc>
        <w:tc>
          <w:tcPr>
            <w:tcW w:w="4621" w:type="dxa"/>
          </w:tcPr>
          <w:p w14:paraId="4BE976CD"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£2,500</w:t>
            </w:r>
          </w:p>
        </w:tc>
      </w:tr>
      <w:tr w:rsidR="000A0485" w14:paraId="688425E6" w14:textId="77777777" w:rsidTr="004E4931">
        <w:tc>
          <w:tcPr>
            <w:tcW w:w="4621" w:type="dxa"/>
          </w:tcPr>
          <w:p w14:paraId="6FD6D7D2"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18</w:t>
            </w:r>
            <w:r w:rsidRPr="00C2753E">
              <w:rPr>
                <w:rFonts w:ascii="Arial" w:hAnsi="Arial" w:cs="Arial"/>
                <w:vertAlign w:val="superscript"/>
              </w:rPr>
              <w:t>th</w:t>
            </w:r>
            <w:r w:rsidRPr="00C2753E">
              <w:rPr>
                <w:rFonts w:ascii="Arial" w:hAnsi="Arial" w:cs="Arial"/>
              </w:rPr>
              <w:t xml:space="preserve"> Month Retention Reward Payment</w:t>
            </w:r>
          </w:p>
        </w:tc>
        <w:tc>
          <w:tcPr>
            <w:tcW w:w="4621" w:type="dxa"/>
          </w:tcPr>
          <w:p w14:paraId="20228CE6"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£2,500</w:t>
            </w:r>
          </w:p>
        </w:tc>
      </w:tr>
      <w:tr w:rsidR="000A0485" w14:paraId="00A8B24D" w14:textId="77777777" w:rsidTr="004E4931">
        <w:tc>
          <w:tcPr>
            <w:tcW w:w="4621" w:type="dxa"/>
          </w:tcPr>
          <w:p w14:paraId="30AEDA4C" w14:textId="77777777" w:rsidR="000A0485" w:rsidRPr="00C2753E" w:rsidRDefault="000A0485" w:rsidP="004E4931">
            <w:pPr>
              <w:pStyle w:val="NormalWeb"/>
              <w:spacing w:line="276" w:lineRule="auto"/>
              <w:jc w:val="both"/>
              <w:rPr>
                <w:rFonts w:ascii="Arial" w:hAnsi="Arial" w:cs="Arial"/>
              </w:rPr>
            </w:pPr>
          </w:p>
        </w:tc>
        <w:tc>
          <w:tcPr>
            <w:tcW w:w="4621" w:type="dxa"/>
          </w:tcPr>
          <w:p w14:paraId="3EF9651C" w14:textId="77777777" w:rsidR="000A0485" w:rsidRPr="00C2753E" w:rsidRDefault="000A0485" w:rsidP="004E4931">
            <w:pPr>
              <w:pStyle w:val="NormalWeb"/>
              <w:spacing w:line="276" w:lineRule="auto"/>
              <w:jc w:val="both"/>
              <w:rPr>
                <w:rFonts w:ascii="Arial" w:hAnsi="Arial" w:cs="Arial"/>
              </w:rPr>
            </w:pPr>
          </w:p>
        </w:tc>
      </w:tr>
      <w:tr w:rsidR="000A0485" w14:paraId="42FB8321" w14:textId="77777777" w:rsidTr="004E4931">
        <w:tc>
          <w:tcPr>
            <w:tcW w:w="4621" w:type="dxa"/>
          </w:tcPr>
          <w:p w14:paraId="62CCE041"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Additional payments at end of 18</w:t>
            </w:r>
            <w:r w:rsidRPr="00C2753E">
              <w:rPr>
                <w:rFonts w:ascii="Arial" w:hAnsi="Arial" w:cs="Arial"/>
                <w:vertAlign w:val="superscript"/>
              </w:rPr>
              <w:t>th</w:t>
            </w:r>
            <w:r w:rsidRPr="00C2753E">
              <w:rPr>
                <w:rFonts w:ascii="Arial" w:hAnsi="Arial" w:cs="Arial"/>
              </w:rPr>
              <w:t xml:space="preserve"> month TOTAL</w:t>
            </w:r>
          </w:p>
        </w:tc>
        <w:tc>
          <w:tcPr>
            <w:tcW w:w="4621" w:type="dxa"/>
          </w:tcPr>
          <w:p w14:paraId="68C404DD" w14:textId="77777777" w:rsidR="000A0485" w:rsidRPr="00C2753E" w:rsidRDefault="000A0485" w:rsidP="004E4931">
            <w:pPr>
              <w:pStyle w:val="NormalWeb"/>
              <w:spacing w:line="276" w:lineRule="auto"/>
              <w:jc w:val="both"/>
              <w:rPr>
                <w:rFonts w:ascii="Arial" w:hAnsi="Arial" w:cs="Arial"/>
              </w:rPr>
            </w:pPr>
            <w:r w:rsidRPr="00C2753E">
              <w:rPr>
                <w:rFonts w:ascii="Arial" w:hAnsi="Arial" w:cs="Arial"/>
              </w:rPr>
              <w:t>£15,000</w:t>
            </w:r>
          </w:p>
        </w:tc>
      </w:tr>
    </w:tbl>
    <w:p w14:paraId="45E25198" w14:textId="77777777" w:rsidR="000A0485" w:rsidRDefault="000A0485" w:rsidP="000A0485">
      <w:pPr>
        <w:pStyle w:val="NormalWeb"/>
        <w:spacing w:line="276" w:lineRule="auto"/>
        <w:jc w:val="both"/>
        <w:rPr>
          <w:rFonts w:ascii="Arial" w:hAnsi="Arial" w:cs="Arial"/>
          <w:b/>
          <w:bCs/>
          <w:color w:val="0070C0"/>
        </w:rPr>
      </w:pPr>
    </w:p>
    <w:p w14:paraId="16610E6F" w14:textId="77777777" w:rsidR="000A0485" w:rsidRPr="00C2753E" w:rsidRDefault="000A0485" w:rsidP="000A0485">
      <w:pPr>
        <w:pStyle w:val="NormalWeb"/>
        <w:spacing w:line="276" w:lineRule="auto"/>
        <w:jc w:val="both"/>
        <w:rPr>
          <w:rFonts w:ascii="Arial" w:hAnsi="Arial" w:cs="Arial"/>
          <w:b/>
          <w:bCs/>
          <w:color w:val="0070C0"/>
        </w:rPr>
      </w:pPr>
      <w:r w:rsidRPr="00C2753E">
        <w:rPr>
          <w:rFonts w:ascii="Arial" w:hAnsi="Arial" w:cs="Arial"/>
          <w:b/>
          <w:bCs/>
          <w:color w:val="0070C0"/>
        </w:rPr>
        <w:t xml:space="preserve">What happens if a child moves from the foster carer(s) during the 18 months? </w:t>
      </w:r>
    </w:p>
    <w:p w14:paraId="2473867A" w14:textId="77777777" w:rsidR="000A0485" w:rsidRDefault="000A0485" w:rsidP="000A0485">
      <w:pPr>
        <w:pStyle w:val="NormalWeb"/>
        <w:jc w:val="both"/>
        <w:rPr>
          <w:rFonts w:ascii="Arial" w:hAnsi="Arial" w:cs="Arial"/>
        </w:rPr>
      </w:pPr>
      <w:r w:rsidRPr="00DB4B33">
        <w:rPr>
          <w:rFonts w:ascii="Arial" w:hAnsi="Arial" w:cs="Arial"/>
        </w:rPr>
        <w:t xml:space="preserve">The scheme is based on an 18-month commitment from the foster carer to care for the child and if appropriate that this will then </w:t>
      </w:r>
      <w:r>
        <w:rPr>
          <w:rFonts w:ascii="Arial" w:hAnsi="Arial" w:cs="Arial"/>
        </w:rPr>
        <w:t>b</w:t>
      </w:r>
      <w:r w:rsidRPr="00DB4B33">
        <w:rPr>
          <w:rFonts w:ascii="Arial" w:hAnsi="Arial" w:cs="Arial"/>
        </w:rPr>
        <w:t xml:space="preserve">e extended to offer </w:t>
      </w:r>
      <w:r>
        <w:rPr>
          <w:rFonts w:ascii="Arial" w:hAnsi="Arial" w:cs="Arial"/>
        </w:rPr>
        <w:t xml:space="preserve">them </w:t>
      </w:r>
      <w:r w:rsidRPr="00DB4B33">
        <w:rPr>
          <w:rFonts w:ascii="Arial" w:hAnsi="Arial" w:cs="Arial"/>
        </w:rPr>
        <w:t xml:space="preserve">a longer-term home. It is acknowledged that </w:t>
      </w:r>
      <w:r>
        <w:rPr>
          <w:rFonts w:ascii="Arial" w:hAnsi="Arial" w:cs="Arial"/>
        </w:rPr>
        <w:t xml:space="preserve">in exceptional circumstances a </w:t>
      </w:r>
      <w:r w:rsidRPr="00DB4B33">
        <w:rPr>
          <w:rFonts w:ascii="Arial" w:hAnsi="Arial" w:cs="Arial"/>
        </w:rPr>
        <w:t>child</w:t>
      </w:r>
      <w:r>
        <w:rPr>
          <w:rFonts w:ascii="Arial" w:hAnsi="Arial" w:cs="Arial"/>
        </w:rPr>
        <w:t xml:space="preserve"> may have to be moved, where they can no longer be safely cared for within a family home. In these circumstances, payments to the carer will be ended on the date of moving on. No further retention payments will be made. Foster carers are requested to give 28 days’ notice to end the child’s care, to facilitate a planned move. A Placement Stability meeting should be convened if there is any suggestion that the child’s placement is becoming fragile. </w:t>
      </w:r>
    </w:p>
    <w:p w14:paraId="7EFABB1A" w14:textId="77777777" w:rsidR="000A0485" w:rsidRPr="00DB4B33" w:rsidRDefault="000A0485" w:rsidP="000A0485">
      <w:pPr>
        <w:pStyle w:val="NormalWeb"/>
        <w:jc w:val="both"/>
        <w:rPr>
          <w:rFonts w:ascii="Arial" w:hAnsi="Arial" w:cs="Arial"/>
        </w:rPr>
      </w:pPr>
      <w:r>
        <w:rPr>
          <w:rFonts w:ascii="Arial" w:hAnsi="Arial" w:cs="Arial"/>
        </w:rPr>
        <w:t xml:space="preserve">There will be no expectation for foster carers to repay any of the retention payments that they have already received for the care of the child. </w:t>
      </w:r>
    </w:p>
    <w:p w14:paraId="44BD06DD" w14:textId="77777777" w:rsidR="000A0485" w:rsidRPr="00F92680" w:rsidRDefault="000A0485" w:rsidP="000A0485">
      <w:pPr>
        <w:rPr>
          <w:rFonts w:ascii="Calibri" w:hAnsi="Calibri" w:cs="Calibri"/>
        </w:rPr>
      </w:pPr>
    </w:p>
    <w:p w14:paraId="3FD3A041" w14:textId="77777777" w:rsidR="000A0485" w:rsidRDefault="000A0485" w:rsidP="00B24E4D">
      <w:pPr>
        <w:rPr>
          <w:rFonts w:ascii="Arial" w:hAnsi="Arial" w:cs="Arial"/>
          <w:sz w:val="24"/>
          <w:szCs w:val="24"/>
        </w:rPr>
      </w:pPr>
    </w:p>
    <w:p w14:paraId="07717A01" w14:textId="03AE6FBF" w:rsidR="000A0485" w:rsidRDefault="000A0485" w:rsidP="00B24E4D">
      <w:pPr>
        <w:rPr>
          <w:rFonts w:ascii="Arial" w:hAnsi="Arial" w:cs="Arial"/>
          <w:sz w:val="24"/>
          <w:szCs w:val="24"/>
        </w:rPr>
      </w:pPr>
    </w:p>
    <w:sectPr w:rsidR="000A0485" w:rsidSect="005C65CB">
      <w:footerReference w:type="default" r:id="rId14"/>
      <w:pgSz w:w="11910" w:h="16840"/>
      <w:pgMar w:top="1360" w:right="1680" w:bottom="851" w:left="1680" w:header="0"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E4F2" w14:textId="77777777" w:rsidR="005C65CB" w:rsidRDefault="005C65CB" w:rsidP="006D7521">
      <w:pPr>
        <w:spacing w:after="0" w:line="240" w:lineRule="auto"/>
      </w:pPr>
      <w:r>
        <w:separator/>
      </w:r>
    </w:p>
  </w:endnote>
  <w:endnote w:type="continuationSeparator" w:id="0">
    <w:p w14:paraId="27762D8A" w14:textId="77777777" w:rsidR="005C65CB" w:rsidRDefault="005C65CB"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3142779" w:rsidR="003839A6" w:rsidRPr="004141A4" w:rsidRDefault="009B0333" w:rsidP="003839A6">
        <w:pPr>
          <w:pStyle w:val="Footer"/>
          <w:rPr>
            <w:rFonts w:ascii="Arial" w:hAnsi="Arial" w:cs="Arial"/>
            <w:sz w:val="20"/>
            <w:szCs w:val="20"/>
          </w:rPr>
        </w:pPr>
        <w:r>
          <w:rPr>
            <w:rFonts w:ascii="Arial" w:hAnsi="Arial" w:cs="Arial"/>
            <w:noProof/>
            <w:sz w:val="20"/>
            <w:szCs w:val="20"/>
          </w:rPr>
          <w:t>Step Across to Fostering Policy</w:t>
        </w:r>
      </w:p>
      <w:p w14:paraId="4AD94B0C" w14:textId="5A8633BD" w:rsidR="00B1509F" w:rsidRPr="00222F63" w:rsidRDefault="005C65CB" w:rsidP="00222F63">
        <w:pPr>
          <w:pStyle w:val="Footer"/>
          <w:jc w:val="right"/>
          <w:rPr>
            <w:rFonts w:ascii="Arial" w:hAnsi="Arial" w:cs="Arial"/>
            <w:noProof/>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583675"/>
      <w:docPartObj>
        <w:docPartGallery w:val="Page Numbers (Bottom of Page)"/>
        <w:docPartUnique/>
      </w:docPartObj>
    </w:sdtPr>
    <w:sdtEndPr>
      <w:rPr>
        <w:rFonts w:ascii="Arial" w:hAnsi="Arial" w:cs="Arial"/>
        <w:noProof/>
        <w:sz w:val="20"/>
        <w:szCs w:val="20"/>
      </w:rPr>
    </w:sdtEndPr>
    <w:sdtContent>
      <w:p w14:paraId="34146A0A" w14:textId="77777777" w:rsidR="009B0333" w:rsidRPr="004141A4" w:rsidRDefault="009B0333" w:rsidP="003839A6">
        <w:pPr>
          <w:pStyle w:val="Footer"/>
          <w:rPr>
            <w:rFonts w:ascii="Arial" w:hAnsi="Arial" w:cs="Arial"/>
            <w:sz w:val="20"/>
            <w:szCs w:val="20"/>
          </w:rPr>
        </w:pPr>
        <w:r>
          <w:rPr>
            <w:rFonts w:ascii="Arial" w:hAnsi="Arial" w:cs="Arial"/>
            <w:noProof/>
            <w:sz w:val="20"/>
            <w:szCs w:val="20"/>
          </w:rPr>
          <w:t>Step Across to Fostering Policy</w:t>
        </w:r>
      </w:p>
      <w:p w14:paraId="0E34D9C0" w14:textId="77777777" w:rsidR="009B0333" w:rsidRDefault="009B0333"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1C92659B" w14:textId="77777777" w:rsidR="009B0333" w:rsidRPr="003839A6" w:rsidRDefault="009B0333"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95D3" w14:textId="77777777" w:rsidR="005C65CB" w:rsidRDefault="005C65CB" w:rsidP="006D7521">
      <w:pPr>
        <w:spacing w:after="0" w:line="240" w:lineRule="auto"/>
      </w:pPr>
      <w:r>
        <w:separator/>
      </w:r>
    </w:p>
  </w:footnote>
  <w:footnote w:type="continuationSeparator" w:id="0">
    <w:p w14:paraId="7884221B" w14:textId="77777777" w:rsidR="005C65CB" w:rsidRDefault="005C65CB" w:rsidP="006D7521">
      <w:pPr>
        <w:spacing w:after="0" w:line="240" w:lineRule="auto"/>
      </w:pPr>
      <w:r>
        <w:continuationSeparator/>
      </w:r>
    </w:p>
  </w:footnote>
  <w:footnote w:id="1">
    <w:p w14:paraId="3B1232CE" w14:textId="77777777" w:rsidR="000A0485" w:rsidRDefault="000A0485" w:rsidP="000A0485">
      <w:pPr>
        <w:pStyle w:val="FootnoteText"/>
      </w:pPr>
      <w:r>
        <w:rPr>
          <w:rStyle w:val="FootnoteReference"/>
        </w:rPr>
        <w:footnoteRef/>
      </w:r>
      <w:r>
        <w:t xml:space="preserve"> See financial summary for rates</w:t>
      </w:r>
    </w:p>
  </w:footnote>
  <w:footnote w:id="2">
    <w:p w14:paraId="4433CBD2" w14:textId="77777777" w:rsidR="000A0485" w:rsidRDefault="000A0485" w:rsidP="000A0485">
      <w:pPr>
        <w:pStyle w:val="FootnoteText"/>
      </w:pPr>
      <w:r>
        <w:rPr>
          <w:rStyle w:val="FootnoteReference"/>
        </w:rPr>
        <w:footnoteRef/>
      </w:r>
      <w:r>
        <w:t xml:space="preserve"> See financial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3826C84"/>
    <w:multiLevelType w:val="hybridMultilevel"/>
    <w:tmpl w:val="B7BA010A"/>
    <w:lvl w:ilvl="0" w:tplc="1452FA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1484895"/>
    <w:multiLevelType w:val="hybridMultilevel"/>
    <w:tmpl w:val="849C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0"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CC74B9"/>
    <w:multiLevelType w:val="hybridMultilevel"/>
    <w:tmpl w:val="3BC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6"/>
  </w:num>
  <w:num w:numId="2" w16cid:durableId="1014192125">
    <w:abstractNumId w:val="6"/>
  </w:num>
  <w:num w:numId="3" w16cid:durableId="601227673">
    <w:abstractNumId w:val="13"/>
  </w:num>
  <w:num w:numId="4" w16cid:durableId="954556710">
    <w:abstractNumId w:val="22"/>
  </w:num>
  <w:num w:numId="5" w16cid:durableId="1306163592">
    <w:abstractNumId w:val="0"/>
  </w:num>
  <w:num w:numId="6" w16cid:durableId="1711801030">
    <w:abstractNumId w:val="25"/>
  </w:num>
  <w:num w:numId="7" w16cid:durableId="2050646501">
    <w:abstractNumId w:val="15"/>
  </w:num>
  <w:num w:numId="8" w16cid:durableId="1146437847">
    <w:abstractNumId w:val="7"/>
  </w:num>
  <w:num w:numId="9" w16cid:durableId="661543168">
    <w:abstractNumId w:val="9"/>
  </w:num>
  <w:num w:numId="10" w16cid:durableId="660891397">
    <w:abstractNumId w:val="3"/>
  </w:num>
  <w:num w:numId="11" w16cid:durableId="1508053471">
    <w:abstractNumId w:val="10"/>
  </w:num>
  <w:num w:numId="12" w16cid:durableId="1543860711">
    <w:abstractNumId w:val="27"/>
  </w:num>
  <w:num w:numId="13" w16cid:durableId="296881259">
    <w:abstractNumId w:val="4"/>
  </w:num>
  <w:num w:numId="14" w16cid:durableId="1140999198">
    <w:abstractNumId w:val="28"/>
  </w:num>
  <w:num w:numId="15" w16cid:durableId="368188829">
    <w:abstractNumId w:val="20"/>
  </w:num>
  <w:num w:numId="16" w16cid:durableId="1348366311">
    <w:abstractNumId w:val="1"/>
  </w:num>
  <w:num w:numId="17" w16cid:durableId="213659051">
    <w:abstractNumId w:val="12"/>
  </w:num>
  <w:num w:numId="18" w16cid:durableId="70466792">
    <w:abstractNumId w:val="16"/>
  </w:num>
  <w:num w:numId="19" w16cid:durableId="1892686901">
    <w:abstractNumId w:val="5"/>
  </w:num>
  <w:num w:numId="20" w16cid:durableId="65691097">
    <w:abstractNumId w:val="18"/>
  </w:num>
  <w:num w:numId="21" w16cid:durableId="822939423">
    <w:abstractNumId w:val="2"/>
  </w:num>
  <w:num w:numId="22" w16cid:durableId="1677420679">
    <w:abstractNumId w:val="30"/>
  </w:num>
  <w:num w:numId="23" w16cid:durableId="2066759420">
    <w:abstractNumId w:val="29"/>
  </w:num>
  <w:num w:numId="24" w16cid:durableId="937641439">
    <w:abstractNumId w:val="21"/>
  </w:num>
  <w:num w:numId="25" w16cid:durableId="1217206456">
    <w:abstractNumId w:val="23"/>
  </w:num>
  <w:num w:numId="26" w16cid:durableId="541089749">
    <w:abstractNumId w:val="17"/>
  </w:num>
  <w:num w:numId="27" w16cid:durableId="496267820">
    <w:abstractNumId w:val="14"/>
  </w:num>
  <w:num w:numId="28" w16cid:durableId="1787432579">
    <w:abstractNumId w:val="19"/>
  </w:num>
  <w:num w:numId="29" w16cid:durableId="1896549639">
    <w:abstractNumId w:val="8"/>
  </w:num>
  <w:num w:numId="30" w16cid:durableId="45758512">
    <w:abstractNumId w:val="24"/>
  </w:num>
  <w:num w:numId="31" w16cid:durableId="197605764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0485"/>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22F63"/>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73CCB"/>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5CB"/>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6658"/>
    <w:rsid w:val="00937388"/>
    <w:rsid w:val="00953EB1"/>
    <w:rsid w:val="009614BC"/>
    <w:rsid w:val="00967E2B"/>
    <w:rsid w:val="00973C2E"/>
    <w:rsid w:val="00985120"/>
    <w:rsid w:val="00991F98"/>
    <w:rsid w:val="009B0333"/>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paragraph" w:customStyle="1" w:styleId="Arielheadder">
    <w:name w:val="Ariel headder"/>
    <w:basedOn w:val="Heading2"/>
    <w:link w:val="ArielheadderChar"/>
    <w:autoRedefine/>
    <w:qFormat/>
    <w:rsid w:val="000A0485"/>
    <w:rPr>
      <w:rFonts w:eastAsia="Times New Roman" w:cs="Arial"/>
      <w:b/>
      <w:bCs/>
      <w:color w:val="0070C0"/>
      <w:sz w:val="24"/>
      <w:szCs w:val="24"/>
      <w:lang w:eastAsia="en-GB"/>
    </w:rPr>
  </w:style>
  <w:style w:type="character" w:customStyle="1" w:styleId="ArielheadderChar">
    <w:name w:val="Ariel headder Char"/>
    <w:basedOn w:val="Heading2Char"/>
    <w:link w:val="Arielheadder"/>
    <w:rsid w:val="000A0485"/>
    <w:rPr>
      <w:rFonts w:ascii="Arial" w:eastAsia="Times New Roman" w:hAnsi="Arial" w:cs="Arial"/>
      <w:b/>
      <w:bCs/>
      <w:color w:val="0070C0"/>
      <w:sz w:val="24"/>
      <w:szCs w:val="24"/>
      <w:lang w:eastAsia="en-GB"/>
    </w:rPr>
  </w:style>
  <w:style w:type="paragraph" w:styleId="FootnoteText">
    <w:name w:val="footnote text"/>
    <w:basedOn w:val="Normal"/>
    <w:link w:val="FootnoteTextChar"/>
    <w:uiPriority w:val="99"/>
    <w:semiHidden/>
    <w:unhideWhenUsed/>
    <w:rsid w:val="000A0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485"/>
    <w:rPr>
      <w:sz w:val="20"/>
      <w:szCs w:val="20"/>
    </w:rPr>
  </w:style>
  <w:style w:type="character" w:styleId="FootnoteReference">
    <w:name w:val="footnote reference"/>
    <w:basedOn w:val="DefaultParagraphFont"/>
    <w:uiPriority w:val="99"/>
    <w:semiHidden/>
    <w:unhideWhenUsed/>
    <w:rsid w:val="000A0485"/>
    <w:rPr>
      <w:vertAlign w:val="superscript"/>
    </w:rPr>
  </w:style>
  <w:style w:type="character" w:customStyle="1" w:styleId="cf01">
    <w:name w:val="cf01"/>
    <w:basedOn w:val="DefaultParagraphFont"/>
    <w:rsid w:val="000A0485"/>
    <w:rPr>
      <w:rFonts w:ascii="Segoe UI" w:hAnsi="Segoe UI" w:cs="Segoe UI" w:hint="default"/>
      <w:sz w:val="18"/>
      <w:szCs w:val="18"/>
    </w:rPr>
  </w:style>
  <w:style w:type="table" w:customStyle="1" w:styleId="TableGrid3">
    <w:name w:val="Table Grid3"/>
    <w:basedOn w:val="TableNormal"/>
    <w:next w:val="TableGrid"/>
    <w:uiPriority w:val="39"/>
    <w:rsid w:val="000A04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Across to Fostering Policy</dc:title>
  <dc:subject/>
  <dc:creator>Gayle Levy - CY EHPS</dc:creator>
  <cp:keywords/>
  <dc:description/>
  <cp:lastModifiedBy>Mary Hilden - CY SCS</cp:lastModifiedBy>
  <cp:revision>5</cp:revision>
  <dcterms:created xsi:type="dcterms:W3CDTF">2024-04-16T09:24:00Z</dcterms:created>
  <dcterms:modified xsi:type="dcterms:W3CDTF">2024-04-16T09:34:00Z</dcterms:modified>
</cp:coreProperties>
</file>