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EC38" w14:textId="77777777" w:rsidR="00D33A8C" w:rsidRDefault="00D33A8C" w:rsidP="00D33A8C">
      <w:pPr>
        <w:widowControl w:val="0"/>
        <w:autoSpaceDE w:val="0"/>
        <w:autoSpaceDN w:val="0"/>
        <w:adjustRightInd w:val="0"/>
        <w:spacing w:after="0" w:line="800" w:lineRule="exact"/>
        <w:ind w:left="556" w:right="11" w:firstLine="1520"/>
        <w:jc w:val="right"/>
        <w:rPr>
          <w:rFonts w:ascii="Arial" w:hAnsi="Arial" w:cs="Arial"/>
          <w:sz w:val="28"/>
          <w:szCs w:val="28"/>
        </w:rPr>
      </w:pPr>
      <w:r w:rsidRPr="002B3CC7">
        <w:rPr>
          <w:rFonts w:ascii="Arial" w:eastAsiaTheme="minorEastAsia" w:hAnsi="Arial" w:cs="Arial"/>
          <w:b/>
          <w:bCs/>
          <w:noProof/>
          <w:color w:val="002060"/>
          <w:sz w:val="72"/>
          <w:szCs w:val="72"/>
          <w:lang w:eastAsia="en-GB"/>
        </w:rPr>
        <w:drawing>
          <wp:anchor distT="0" distB="0" distL="114300" distR="114300" simplePos="0" relativeHeight="251659264" behindDoc="1" locked="0" layoutInCell="1" allowOverlap="1" wp14:anchorId="04B3CD0C" wp14:editId="356EF3B8">
            <wp:simplePos x="0" y="0"/>
            <wp:positionH relativeFrom="column">
              <wp:posOffset>-361315</wp:posOffset>
            </wp:positionH>
            <wp:positionV relativeFrom="page">
              <wp:posOffset>438785</wp:posOffset>
            </wp:positionV>
            <wp:extent cx="6648450" cy="9991725"/>
            <wp:effectExtent l="0" t="0" r="0" b="9525"/>
            <wp:wrapNone/>
            <wp:docPr id="95174703" name="Picture 951747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8"/>
          <w:szCs w:val="28"/>
        </w:rPr>
        <w:tab/>
      </w:r>
    </w:p>
    <w:p w14:paraId="3F88D073" w14:textId="0B0A219D" w:rsidR="00D33A8C" w:rsidRPr="00E61EF4" w:rsidRDefault="00D33A8C" w:rsidP="00D33A8C">
      <w:pPr>
        <w:widowControl w:val="0"/>
        <w:autoSpaceDE w:val="0"/>
        <w:autoSpaceDN w:val="0"/>
        <w:adjustRightInd w:val="0"/>
        <w:spacing w:after="0" w:line="240" w:lineRule="auto"/>
        <w:ind w:right="11"/>
        <w:jc w:val="right"/>
        <w:rPr>
          <w:rFonts w:ascii="Arial" w:eastAsiaTheme="minorEastAsia" w:hAnsi="Arial" w:cs="Arial"/>
          <w:b/>
          <w:bCs/>
          <w:color w:val="002060"/>
          <w:sz w:val="56"/>
          <w:szCs w:val="56"/>
          <w:lang w:eastAsia="en-GB"/>
        </w:rPr>
      </w:pPr>
      <w:bookmarkStart w:id="0" w:name="_Hlk108074565"/>
      <w:bookmarkStart w:id="1" w:name="_Hlk108074585"/>
      <w:r>
        <w:rPr>
          <w:rFonts w:ascii="Arial" w:eastAsiaTheme="minorEastAsia" w:hAnsi="Arial" w:cs="Arial"/>
          <w:b/>
          <w:bCs/>
          <w:color w:val="002060"/>
          <w:sz w:val="72"/>
          <w:szCs w:val="72"/>
          <w:lang w:eastAsia="en-GB"/>
        </w:rPr>
        <w:t xml:space="preserve">                     </w:t>
      </w:r>
      <w:r w:rsidRPr="00E61EF4">
        <w:rPr>
          <w:rFonts w:ascii="Arial" w:eastAsiaTheme="minorEastAsia" w:hAnsi="Arial" w:cs="Arial"/>
          <w:b/>
          <w:bCs/>
          <w:color w:val="002060"/>
          <w:sz w:val="56"/>
          <w:szCs w:val="56"/>
          <w:lang w:eastAsia="en-GB"/>
        </w:rPr>
        <w:t xml:space="preserve">Guidance </w:t>
      </w:r>
      <w:r>
        <w:rPr>
          <w:rFonts w:ascii="Arial" w:eastAsiaTheme="minorEastAsia" w:hAnsi="Arial" w:cs="Arial"/>
          <w:b/>
          <w:bCs/>
          <w:color w:val="002060"/>
          <w:sz w:val="56"/>
          <w:szCs w:val="56"/>
          <w:lang w:eastAsia="en-GB"/>
        </w:rPr>
        <w:t xml:space="preserve">on </w:t>
      </w:r>
      <w:r w:rsidRPr="00E61EF4">
        <w:rPr>
          <w:rFonts w:ascii="Arial" w:eastAsiaTheme="minorEastAsia" w:hAnsi="Arial" w:cs="Arial"/>
          <w:b/>
          <w:bCs/>
          <w:color w:val="002060"/>
          <w:sz w:val="56"/>
          <w:szCs w:val="56"/>
          <w:lang w:eastAsia="en-GB"/>
        </w:rPr>
        <w:t xml:space="preserve">the recording and review </w:t>
      </w:r>
    </w:p>
    <w:p w14:paraId="7EB196C7" w14:textId="77777777" w:rsidR="00D33A8C" w:rsidRPr="00E61EF4" w:rsidRDefault="00D33A8C" w:rsidP="00D33A8C">
      <w:pPr>
        <w:widowControl w:val="0"/>
        <w:autoSpaceDE w:val="0"/>
        <w:autoSpaceDN w:val="0"/>
        <w:adjustRightInd w:val="0"/>
        <w:spacing w:after="0" w:line="240" w:lineRule="auto"/>
        <w:ind w:right="11"/>
        <w:jc w:val="right"/>
        <w:rPr>
          <w:rFonts w:ascii="Arial" w:eastAsiaTheme="minorEastAsia" w:hAnsi="Arial" w:cs="Arial"/>
          <w:b/>
          <w:bCs/>
          <w:color w:val="002060"/>
          <w:sz w:val="56"/>
          <w:szCs w:val="56"/>
          <w:lang w:eastAsia="en-GB"/>
        </w:rPr>
      </w:pPr>
      <w:r w:rsidRPr="00E61EF4">
        <w:rPr>
          <w:rFonts w:ascii="Arial" w:eastAsiaTheme="minorEastAsia" w:hAnsi="Arial" w:cs="Arial"/>
          <w:b/>
          <w:bCs/>
          <w:color w:val="002060"/>
          <w:sz w:val="56"/>
          <w:szCs w:val="56"/>
          <w:lang w:eastAsia="en-GB"/>
        </w:rPr>
        <w:t xml:space="preserve">of Risks and Warning </w:t>
      </w:r>
    </w:p>
    <w:p w14:paraId="3DF113E8" w14:textId="77777777" w:rsidR="00BA636F" w:rsidRDefault="00D33A8C" w:rsidP="00D33A8C">
      <w:pPr>
        <w:widowControl w:val="0"/>
        <w:autoSpaceDE w:val="0"/>
        <w:autoSpaceDN w:val="0"/>
        <w:adjustRightInd w:val="0"/>
        <w:spacing w:after="0" w:line="240" w:lineRule="auto"/>
        <w:ind w:right="11"/>
        <w:jc w:val="right"/>
        <w:rPr>
          <w:rFonts w:ascii="Arial" w:eastAsiaTheme="minorEastAsia" w:hAnsi="Arial" w:cs="Arial"/>
          <w:b/>
          <w:bCs/>
          <w:color w:val="002060"/>
          <w:sz w:val="56"/>
          <w:szCs w:val="56"/>
          <w:lang w:eastAsia="en-GB"/>
        </w:rPr>
      </w:pPr>
      <w:r w:rsidRPr="00E61EF4">
        <w:rPr>
          <w:rFonts w:ascii="Arial" w:eastAsiaTheme="minorEastAsia" w:hAnsi="Arial" w:cs="Arial"/>
          <w:b/>
          <w:bCs/>
          <w:color w:val="002060"/>
          <w:sz w:val="56"/>
          <w:szCs w:val="56"/>
          <w:lang w:eastAsia="en-GB"/>
        </w:rPr>
        <w:t xml:space="preserve">Markers – </w:t>
      </w:r>
    </w:p>
    <w:p w14:paraId="7DF249AC" w14:textId="6DCF1F4F" w:rsidR="00D33A8C" w:rsidRPr="002B3CC7" w:rsidRDefault="00D33A8C" w:rsidP="00D33A8C">
      <w:pPr>
        <w:widowControl w:val="0"/>
        <w:autoSpaceDE w:val="0"/>
        <w:autoSpaceDN w:val="0"/>
        <w:adjustRightInd w:val="0"/>
        <w:spacing w:after="0" w:line="240" w:lineRule="auto"/>
        <w:ind w:right="11"/>
        <w:jc w:val="right"/>
        <w:rPr>
          <w:rFonts w:ascii="Arial" w:eastAsiaTheme="minorEastAsia" w:hAnsi="Arial" w:cs="Arial"/>
          <w:b/>
          <w:bCs/>
          <w:color w:val="002060"/>
          <w:sz w:val="72"/>
          <w:szCs w:val="72"/>
          <w:lang w:eastAsia="en-GB"/>
        </w:rPr>
      </w:pPr>
      <w:r w:rsidRPr="00E61EF4">
        <w:rPr>
          <w:rFonts w:ascii="Arial" w:eastAsiaTheme="minorEastAsia" w:hAnsi="Arial" w:cs="Arial"/>
          <w:b/>
          <w:bCs/>
          <w:color w:val="002060"/>
          <w:sz w:val="56"/>
          <w:szCs w:val="56"/>
          <w:lang w:eastAsia="en-GB"/>
        </w:rPr>
        <w:t>EHM and Liberi</w:t>
      </w:r>
    </w:p>
    <w:bookmarkEnd w:id="0"/>
    <w:bookmarkEnd w:id="1"/>
    <w:p w14:paraId="53015594" w14:textId="71E48EF4" w:rsidR="00D33A8C" w:rsidRPr="000E1AE7" w:rsidRDefault="00D33A8C" w:rsidP="00D33A8C">
      <w:pPr>
        <w:rPr>
          <w:rFonts w:asciiTheme="majorHAnsi" w:hAnsiTheme="majorHAnsi" w:cstheme="majorHAnsi"/>
          <w:b/>
          <w:bCs/>
        </w:rPr>
      </w:pPr>
    </w:p>
    <w:p w14:paraId="753CDF9C" w14:textId="684D1E39" w:rsidR="00D33A8C" w:rsidRDefault="002C77E8" w:rsidP="00D33A8C">
      <w:pPr>
        <w:rPr>
          <w:rFonts w:ascii="Arial" w:hAnsi="Arial" w:cs="Arial"/>
          <w:sz w:val="28"/>
          <w:szCs w:val="28"/>
        </w:rPr>
      </w:pPr>
      <w:r>
        <w:rPr>
          <w:noProof/>
        </w:rPr>
        <mc:AlternateContent>
          <mc:Choice Requires="wps">
            <w:drawing>
              <wp:anchor distT="0" distB="0" distL="114300" distR="114300" simplePos="0" relativeHeight="251660288" behindDoc="0" locked="0" layoutInCell="1" allowOverlap="1" wp14:anchorId="430AED77" wp14:editId="47C6B2B3">
                <wp:simplePos x="0" y="0"/>
                <wp:positionH relativeFrom="column">
                  <wp:posOffset>3333750</wp:posOffset>
                </wp:positionH>
                <wp:positionV relativeFrom="paragraph">
                  <wp:posOffset>161290</wp:posOffset>
                </wp:positionV>
                <wp:extent cx="3162300" cy="2847975"/>
                <wp:effectExtent l="0" t="0" r="0" b="0"/>
                <wp:wrapSquare wrapText="bothSides"/>
                <wp:docPr id="110215171" name="Text Box 1"/>
                <wp:cNvGraphicFramePr/>
                <a:graphic xmlns:a="http://schemas.openxmlformats.org/drawingml/2006/main">
                  <a:graphicData uri="http://schemas.microsoft.com/office/word/2010/wordprocessingShape">
                    <wps:wsp>
                      <wps:cNvSpPr txBox="1"/>
                      <wps:spPr>
                        <a:xfrm>
                          <a:off x="0" y="0"/>
                          <a:ext cx="3162300" cy="2847975"/>
                        </a:xfrm>
                        <a:prstGeom prst="rect">
                          <a:avLst/>
                        </a:prstGeom>
                        <a:noFill/>
                        <a:ln w="6350">
                          <a:noFill/>
                        </a:ln>
                      </wps:spPr>
                      <wps:txbx>
                        <w:txbxContent>
                          <w:p w14:paraId="6BC96FA2" w14:textId="3105AD78" w:rsidR="008D325C" w:rsidRPr="00CF1F20" w:rsidRDefault="008D325C" w:rsidP="002C77E8">
                            <w:pPr>
                              <w:widowControl w:val="0"/>
                              <w:autoSpaceDE w:val="0"/>
                              <w:autoSpaceDN w:val="0"/>
                              <w:adjustRightInd w:val="0"/>
                              <w:spacing w:after="0" w:line="360" w:lineRule="auto"/>
                              <w:ind w:right="11"/>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Name of Author</w:t>
                            </w:r>
                            <w:r w:rsidR="002C77E8">
                              <w:rPr>
                                <w:rFonts w:ascii="Arial" w:eastAsiaTheme="minorEastAsia" w:hAnsi="Arial" w:cs="Arial"/>
                                <w:b/>
                                <w:bCs/>
                                <w:sz w:val="24"/>
                                <w:szCs w:val="24"/>
                                <w:lang w:eastAsia="en-GB"/>
                              </w:rPr>
                              <w:t>: Amy Lawes and Marie Boniface</w:t>
                            </w:r>
                          </w:p>
                          <w:p w14:paraId="29CC9B8E" w14:textId="255DB1FD" w:rsidR="008D325C" w:rsidRPr="00CF1F20" w:rsidRDefault="008D325C" w:rsidP="002C77E8">
                            <w:pPr>
                              <w:widowControl w:val="0"/>
                              <w:autoSpaceDE w:val="0"/>
                              <w:autoSpaceDN w:val="0"/>
                              <w:adjustRightInd w:val="0"/>
                              <w:spacing w:after="0" w:line="360" w:lineRule="auto"/>
                              <w:ind w:right="11"/>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Name of Senior Manager Approving</w:t>
                            </w:r>
                            <w:r w:rsidR="002C77E8">
                              <w:rPr>
                                <w:rFonts w:ascii="Arial" w:eastAsiaTheme="minorEastAsia" w:hAnsi="Arial" w:cs="Arial"/>
                                <w:b/>
                                <w:bCs/>
                                <w:sz w:val="24"/>
                                <w:szCs w:val="24"/>
                                <w:lang w:eastAsia="en-GB"/>
                              </w:rPr>
                              <w:t>: Maureen Robinson</w:t>
                            </w:r>
                          </w:p>
                          <w:p w14:paraId="29785A3F" w14:textId="6FD6960C" w:rsidR="008D325C" w:rsidRDefault="008D325C" w:rsidP="002C77E8">
                            <w:pPr>
                              <w:widowControl w:val="0"/>
                              <w:autoSpaceDE w:val="0"/>
                              <w:autoSpaceDN w:val="0"/>
                              <w:adjustRightInd w:val="0"/>
                              <w:spacing w:after="0" w:line="360" w:lineRule="auto"/>
                              <w:ind w:right="11"/>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 xml:space="preserve">Date of Issue: </w:t>
                            </w:r>
                            <w:r w:rsidR="002C77E8">
                              <w:rPr>
                                <w:rFonts w:ascii="Arial" w:eastAsiaTheme="minorEastAsia" w:hAnsi="Arial" w:cs="Arial"/>
                                <w:b/>
                                <w:bCs/>
                                <w:sz w:val="24"/>
                                <w:szCs w:val="24"/>
                                <w:lang w:eastAsia="en-GB"/>
                              </w:rPr>
                              <w:t>November 2023</w:t>
                            </w:r>
                          </w:p>
                          <w:p w14:paraId="5B0AB0C8" w14:textId="77777777" w:rsidR="002C77E8" w:rsidRDefault="002C77E8" w:rsidP="002C77E8">
                            <w:pPr>
                              <w:widowControl w:val="0"/>
                              <w:autoSpaceDE w:val="0"/>
                              <w:autoSpaceDN w:val="0"/>
                              <w:adjustRightInd w:val="0"/>
                              <w:spacing w:after="0" w:line="360" w:lineRule="auto"/>
                              <w:ind w:right="11"/>
                              <w:rPr>
                                <w:rFonts w:ascii="Arial" w:eastAsiaTheme="minorEastAsia" w:hAnsi="Arial" w:cs="Arial"/>
                                <w:b/>
                                <w:bCs/>
                                <w:sz w:val="24"/>
                                <w:szCs w:val="24"/>
                                <w:lang w:eastAsia="en-GB"/>
                              </w:rPr>
                            </w:pPr>
                            <w:r>
                              <w:rPr>
                                <w:rFonts w:ascii="Arial" w:eastAsiaTheme="minorEastAsia" w:hAnsi="Arial" w:cs="Arial"/>
                                <w:b/>
                                <w:bCs/>
                                <w:sz w:val="24"/>
                                <w:szCs w:val="24"/>
                                <w:lang w:eastAsia="en-GB"/>
                              </w:rPr>
                              <w:t>Date of Review: November 2025</w:t>
                            </w:r>
                          </w:p>
                          <w:p w14:paraId="514DDBD2" w14:textId="77777777" w:rsidR="008D325C" w:rsidRDefault="008D325C" w:rsidP="008D32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0AED77" id="_x0000_t202" coordsize="21600,21600" o:spt="202" path="m,l,21600r21600,l21600,xe">
                <v:stroke joinstyle="miter"/>
                <v:path gradientshapeok="t" o:connecttype="rect"/>
              </v:shapetype>
              <v:shape id="Text Box 1" o:spid="_x0000_s1026" type="#_x0000_t202" style="position:absolute;margin-left:262.5pt;margin-top:12.7pt;width:249pt;height:2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iKFwIAAC0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" filled="f" stroked="f" strokeweight=".5pt">
                <v:textbox>
                  <w:txbxContent>
                    <w:p w14:paraId="6BC96FA2" w14:textId="3105AD78" w:rsidR="008D325C" w:rsidRPr="00CF1F20" w:rsidRDefault="008D325C" w:rsidP="002C77E8">
                      <w:pPr>
                        <w:widowControl w:val="0"/>
                        <w:autoSpaceDE w:val="0"/>
                        <w:autoSpaceDN w:val="0"/>
                        <w:adjustRightInd w:val="0"/>
                        <w:spacing w:after="0" w:line="360" w:lineRule="auto"/>
                        <w:ind w:right="11"/>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Name of Author</w:t>
                      </w:r>
                      <w:r w:rsidR="002C77E8">
                        <w:rPr>
                          <w:rFonts w:ascii="Arial" w:eastAsiaTheme="minorEastAsia" w:hAnsi="Arial" w:cs="Arial"/>
                          <w:b/>
                          <w:bCs/>
                          <w:sz w:val="24"/>
                          <w:szCs w:val="24"/>
                          <w:lang w:eastAsia="en-GB"/>
                        </w:rPr>
                        <w:t>: Amy Lawes and Marie Boniface</w:t>
                      </w:r>
                    </w:p>
                    <w:p w14:paraId="29CC9B8E" w14:textId="255DB1FD" w:rsidR="008D325C" w:rsidRPr="00CF1F20" w:rsidRDefault="008D325C" w:rsidP="002C77E8">
                      <w:pPr>
                        <w:widowControl w:val="0"/>
                        <w:autoSpaceDE w:val="0"/>
                        <w:autoSpaceDN w:val="0"/>
                        <w:adjustRightInd w:val="0"/>
                        <w:spacing w:after="0" w:line="360" w:lineRule="auto"/>
                        <w:ind w:right="11"/>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Name of Senior Manager Approving</w:t>
                      </w:r>
                      <w:r w:rsidR="002C77E8">
                        <w:rPr>
                          <w:rFonts w:ascii="Arial" w:eastAsiaTheme="minorEastAsia" w:hAnsi="Arial" w:cs="Arial"/>
                          <w:b/>
                          <w:bCs/>
                          <w:sz w:val="24"/>
                          <w:szCs w:val="24"/>
                          <w:lang w:eastAsia="en-GB"/>
                        </w:rPr>
                        <w:t>: Maureen Robinson</w:t>
                      </w:r>
                    </w:p>
                    <w:p w14:paraId="29785A3F" w14:textId="6FD6960C" w:rsidR="008D325C" w:rsidRDefault="008D325C" w:rsidP="002C77E8">
                      <w:pPr>
                        <w:widowControl w:val="0"/>
                        <w:autoSpaceDE w:val="0"/>
                        <w:autoSpaceDN w:val="0"/>
                        <w:adjustRightInd w:val="0"/>
                        <w:spacing w:after="0" w:line="360" w:lineRule="auto"/>
                        <w:ind w:right="11"/>
                        <w:rPr>
                          <w:rFonts w:ascii="Arial" w:eastAsiaTheme="minorEastAsia" w:hAnsi="Arial" w:cs="Arial"/>
                          <w:b/>
                          <w:bCs/>
                          <w:sz w:val="24"/>
                          <w:szCs w:val="24"/>
                          <w:lang w:eastAsia="en-GB"/>
                        </w:rPr>
                      </w:pPr>
                      <w:r w:rsidRPr="00CF1F20">
                        <w:rPr>
                          <w:rFonts w:ascii="Arial" w:eastAsiaTheme="minorEastAsia" w:hAnsi="Arial" w:cs="Arial"/>
                          <w:b/>
                          <w:bCs/>
                          <w:sz w:val="24"/>
                          <w:szCs w:val="24"/>
                          <w:lang w:eastAsia="en-GB"/>
                        </w:rPr>
                        <w:t xml:space="preserve">Date of Issue: </w:t>
                      </w:r>
                      <w:r w:rsidR="002C77E8">
                        <w:rPr>
                          <w:rFonts w:ascii="Arial" w:eastAsiaTheme="minorEastAsia" w:hAnsi="Arial" w:cs="Arial"/>
                          <w:b/>
                          <w:bCs/>
                          <w:sz w:val="24"/>
                          <w:szCs w:val="24"/>
                          <w:lang w:eastAsia="en-GB"/>
                        </w:rPr>
                        <w:t>November 2023</w:t>
                      </w:r>
                    </w:p>
                    <w:p w14:paraId="5B0AB0C8" w14:textId="77777777" w:rsidR="002C77E8" w:rsidRDefault="002C77E8" w:rsidP="002C77E8">
                      <w:pPr>
                        <w:widowControl w:val="0"/>
                        <w:autoSpaceDE w:val="0"/>
                        <w:autoSpaceDN w:val="0"/>
                        <w:adjustRightInd w:val="0"/>
                        <w:spacing w:after="0" w:line="360" w:lineRule="auto"/>
                        <w:ind w:right="11"/>
                        <w:rPr>
                          <w:rFonts w:ascii="Arial" w:eastAsiaTheme="minorEastAsia" w:hAnsi="Arial" w:cs="Arial"/>
                          <w:b/>
                          <w:bCs/>
                          <w:sz w:val="24"/>
                          <w:szCs w:val="24"/>
                          <w:lang w:eastAsia="en-GB"/>
                        </w:rPr>
                      </w:pPr>
                      <w:r>
                        <w:rPr>
                          <w:rFonts w:ascii="Arial" w:eastAsiaTheme="minorEastAsia" w:hAnsi="Arial" w:cs="Arial"/>
                          <w:b/>
                          <w:bCs/>
                          <w:sz w:val="24"/>
                          <w:szCs w:val="24"/>
                          <w:lang w:eastAsia="en-GB"/>
                        </w:rPr>
                        <w:t>Date of Review: November 2025</w:t>
                      </w:r>
                    </w:p>
                    <w:p w14:paraId="514DDBD2" w14:textId="77777777" w:rsidR="008D325C" w:rsidRDefault="008D325C" w:rsidP="008D325C"/>
                  </w:txbxContent>
                </v:textbox>
                <w10:wrap type="square"/>
              </v:shape>
            </w:pict>
          </mc:Fallback>
        </mc:AlternateContent>
      </w:r>
    </w:p>
    <w:p w14:paraId="3B5B6380" w14:textId="77777777" w:rsidR="00D33A8C" w:rsidRDefault="00D33A8C" w:rsidP="00D33A8C">
      <w:pPr>
        <w:rPr>
          <w:rFonts w:ascii="Arial" w:hAnsi="Arial" w:cs="Arial"/>
          <w:sz w:val="28"/>
          <w:szCs w:val="28"/>
        </w:rPr>
      </w:pPr>
    </w:p>
    <w:p w14:paraId="3C04FAD8" w14:textId="77777777" w:rsidR="00D33A8C" w:rsidRDefault="00D33A8C" w:rsidP="00D33A8C">
      <w:pPr>
        <w:rPr>
          <w:rFonts w:ascii="Arial" w:hAnsi="Arial" w:cs="Arial"/>
          <w:sz w:val="28"/>
          <w:szCs w:val="28"/>
        </w:rPr>
      </w:pPr>
    </w:p>
    <w:p w14:paraId="2618060A" w14:textId="77777777" w:rsidR="00D33A8C" w:rsidRDefault="00D33A8C" w:rsidP="00D33A8C">
      <w:pPr>
        <w:rPr>
          <w:rFonts w:ascii="Arial" w:hAnsi="Arial" w:cs="Arial"/>
          <w:sz w:val="28"/>
          <w:szCs w:val="28"/>
        </w:rPr>
      </w:pPr>
    </w:p>
    <w:p w14:paraId="02AC71BF" w14:textId="77777777" w:rsidR="00D33A8C" w:rsidRDefault="00D33A8C" w:rsidP="00D33A8C">
      <w:pPr>
        <w:rPr>
          <w:rFonts w:ascii="Arial" w:hAnsi="Arial" w:cs="Arial"/>
          <w:sz w:val="28"/>
          <w:szCs w:val="28"/>
        </w:rPr>
      </w:pPr>
    </w:p>
    <w:p w14:paraId="2C946423" w14:textId="77777777" w:rsidR="00D33A8C" w:rsidRDefault="00D33A8C" w:rsidP="00D33A8C">
      <w:pPr>
        <w:rPr>
          <w:rFonts w:ascii="Arial" w:hAnsi="Arial" w:cs="Arial"/>
          <w:sz w:val="28"/>
          <w:szCs w:val="28"/>
        </w:rPr>
      </w:pPr>
    </w:p>
    <w:p w14:paraId="53D24B96" w14:textId="77777777" w:rsidR="00D33A8C" w:rsidRDefault="00D33A8C" w:rsidP="00D33A8C">
      <w:pPr>
        <w:rPr>
          <w:rFonts w:ascii="Arial" w:hAnsi="Arial" w:cs="Arial"/>
          <w:sz w:val="28"/>
          <w:szCs w:val="28"/>
        </w:rPr>
      </w:pPr>
    </w:p>
    <w:p w14:paraId="45AAA52A" w14:textId="77777777" w:rsidR="00D33A8C" w:rsidRDefault="00D33A8C" w:rsidP="00D33A8C">
      <w:pPr>
        <w:rPr>
          <w:rFonts w:ascii="Arial" w:hAnsi="Arial" w:cs="Arial"/>
          <w:sz w:val="28"/>
          <w:szCs w:val="28"/>
        </w:rPr>
      </w:pPr>
    </w:p>
    <w:p w14:paraId="3E8F16C6" w14:textId="77777777" w:rsidR="00D33A8C" w:rsidRDefault="00D33A8C" w:rsidP="00D33A8C">
      <w:pPr>
        <w:rPr>
          <w:rFonts w:ascii="Arial" w:hAnsi="Arial" w:cs="Arial"/>
          <w:sz w:val="28"/>
          <w:szCs w:val="28"/>
        </w:rPr>
      </w:pPr>
    </w:p>
    <w:p w14:paraId="12696D98" w14:textId="77777777" w:rsidR="00D33A8C" w:rsidRDefault="00D33A8C" w:rsidP="00D33A8C">
      <w:pPr>
        <w:rPr>
          <w:rFonts w:ascii="Arial" w:hAnsi="Arial" w:cs="Arial"/>
          <w:sz w:val="28"/>
          <w:szCs w:val="28"/>
        </w:rPr>
      </w:pPr>
    </w:p>
    <w:p w14:paraId="719E1484" w14:textId="77777777" w:rsidR="00D33A8C" w:rsidRDefault="00D33A8C" w:rsidP="00D33A8C">
      <w:pPr>
        <w:rPr>
          <w:rFonts w:ascii="Arial" w:hAnsi="Arial" w:cs="Arial"/>
          <w:sz w:val="28"/>
          <w:szCs w:val="28"/>
        </w:rPr>
      </w:pPr>
    </w:p>
    <w:p w14:paraId="588603EA" w14:textId="77777777" w:rsidR="00D33A8C" w:rsidRDefault="00D33A8C" w:rsidP="00D33A8C">
      <w:pPr>
        <w:rPr>
          <w:rFonts w:ascii="Arial" w:hAnsi="Arial" w:cs="Arial"/>
          <w:sz w:val="28"/>
          <w:szCs w:val="28"/>
        </w:rPr>
      </w:pPr>
    </w:p>
    <w:p w14:paraId="2850FA81" w14:textId="77777777" w:rsidR="00D33A8C" w:rsidRDefault="00D33A8C" w:rsidP="00D33A8C">
      <w:pPr>
        <w:rPr>
          <w:rFonts w:ascii="Arial" w:hAnsi="Arial" w:cs="Arial"/>
          <w:sz w:val="28"/>
          <w:szCs w:val="28"/>
        </w:rPr>
      </w:pPr>
    </w:p>
    <w:p w14:paraId="45A7002E" w14:textId="77777777" w:rsidR="00D33A8C" w:rsidRDefault="00D33A8C" w:rsidP="00D33A8C">
      <w:pPr>
        <w:rPr>
          <w:rFonts w:ascii="Arial" w:hAnsi="Arial" w:cs="Arial"/>
          <w:sz w:val="28"/>
          <w:szCs w:val="28"/>
        </w:rPr>
      </w:pPr>
    </w:p>
    <w:p w14:paraId="32BEABF8" w14:textId="77777777" w:rsidR="00D33A8C" w:rsidRDefault="00D33A8C" w:rsidP="00D33A8C">
      <w:pPr>
        <w:rPr>
          <w:rFonts w:ascii="Arial" w:hAnsi="Arial" w:cs="Arial"/>
          <w:sz w:val="28"/>
          <w:szCs w:val="28"/>
        </w:rPr>
      </w:pPr>
    </w:p>
    <w:p w14:paraId="57D818F7" w14:textId="77777777" w:rsidR="00D33A8C" w:rsidRDefault="00D33A8C" w:rsidP="00D33A8C">
      <w:pPr>
        <w:rPr>
          <w:rFonts w:ascii="Arial" w:hAnsi="Arial" w:cs="Arial"/>
          <w:sz w:val="28"/>
          <w:szCs w:val="28"/>
        </w:rPr>
      </w:pPr>
    </w:p>
    <w:p w14:paraId="1842ADB3" w14:textId="77777777" w:rsidR="00D33A8C" w:rsidRDefault="00D33A8C" w:rsidP="00D33A8C">
      <w:pPr>
        <w:rPr>
          <w:rFonts w:ascii="Arial" w:hAnsi="Arial" w:cs="Arial"/>
          <w:sz w:val="28"/>
          <w:szCs w:val="28"/>
        </w:rPr>
      </w:pPr>
    </w:p>
    <w:p w14:paraId="510E6A11" w14:textId="77777777" w:rsidR="00D33A8C" w:rsidRDefault="00D33A8C" w:rsidP="00D33A8C">
      <w:pPr>
        <w:rPr>
          <w:rFonts w:ascii="Arial" w:hAnsi="Arial" w:cs="Arial"/>
          <w:sz w:val="28"/>
          <w:szCs w:val="28"/>
        </w:rPr>
      </w:pPr>
    </w:p>
    <w:p w14:paraId="19A718BF" w14:textId="77777777" w:rsidR="00D33A8C" w:rsidRDefault="00D33A8C" w:rsidP="00D33A8C">
      <w:pPr>
        <w:rPr>
          <w:rFonts w:ascii="Arial" w:hAnsi="Arial" w:cs="Arial"/>
          <w:sz w:val="28"/>
          <w:szCs w:val="28"/>
        </w:rPr>
      </w:pPr>
    </w:p>
    <w:tbl>
      <w:tblPr>
        <w:tblStyle w:val="TableGrid"/>
        <w:tblW w:w="0" w:type="auto"/>
        <w:jc w:val="center"/>
        <w:tblLook w:val="04A0" w:firstRow="1" w:lastRow="0" w:firstColumn="1" w:lastColumn="0" w:noHBand="0" w:noVBand="1"/>
      </w:tblPr>
      <w:tblGrid>
        <w:gridCol w:w="7196"/>
        <w:gridCol w:w="2046"/>
      </w:tblGrid>
      <w:tr w:rsidR="00B34595" w:rsidRPr="00B34595" w14:paraId="02970D1E" w14:textId="77777777" w:rsidTr="00B37B77">
        <w:trPr>
          <w:jc w:val="center"/>
        </w:trPr>
        <w:tc>
          <w:tcPr>
            <w:tcW w:w="7196" w:type="dxa"/>
            <w:shd w:val="clear" w:color="auto" w:fill="B4C6E7" w:themeFill="accent1" w:themeFillTint="66"/>
          </w:tcPr>
          <w:p w14:paraId="42839C97" w14:textId="77777777" w:rsidR="00B34595" w:rsidRPr="00B34595" w:rsidRDefault="00B34595" w:rsidP="00B37B77">
            <w:pPr>
              <w:jc w:val="center"/>
              <w:rPr>
                <w:rFonts w:ascii="Arial" w:hAnsi="Arial" w:cs="Arial"/>
                <w:b/>
                <w:sz w:val="24"/>
                <w:szCs w:val="24"/>
              </w:rPr>
            </w:pPr>
            <w:r w:rsidRPr="00B34595">
              <w:rPr>
                <w:rFonts w:ascii="Arial" w:hAnsi="Arial" w:cs="Arial"/>
                <w:b/>
                <w:sz w:val="24"/>
                <w:szCs w:val="24"/>
              </w:rPr>
              <w:lastRenderedPageBreak/>
              <w:t>Contents</w:t>
            </w:r>
          </w:p>
        </w:tc>
        <w:tc>
          <w:tcPr>
            <w:tcW w:w="2046" w:type="dxa"/>
            <w:shd w:val="clear" w:color="auto" w:fill="B4C6E7" w:themeFill="accent1" w:themeFillTint="66"/>
          </w:tcPr>
          <w:p w14:paraId="4E1B263F" w14:textId="77777777" w:rsidR="00B34595" w:rsidRPr="00B34595" w:rsidRDefault="00B34595" w:rsidP="00B37B77">
            <w:pPr>
              <w:jc w:val="center"/>
              <w:rPr>
                <w:rFonts w:ascii="Arial" w:hAnsi="Arial" w:cs="Arial"/>
                <w:b/>
                <w:sz w:val="24"/>
                <w:szCs w:val="24"/>
              </w:rPr>
            </w:pPr>
            <w:r w:rsidRPr="00B34595">
              <w:rPr>
                <w:rFonts w:ascii="Arial" w:hAnsi="Arial" w:cs="Arial"/>
                <w:b/>
                <w:sz w:val="24"/>
                <w:szCs w:val="24"/>
              </w:rPr>
              <w:t>Page</w:t>
            </w:r>
          </w:p>
        </w:tc>
      </w:tr>
      <w:tr w:rsidR="00B34595" w:rsidRPr="00B34595" w14:paraId="088B8EE3" w14:textId="77777777" w:rsidTr="00B37B77">
        <w:trPr>
          <w:jc w:val="center"/>
        </w:trPr>
        <w:tc>
          <w:tcPr>
            <w:tcW w:w="7196" w:type="dxa"/>
          </w:tcPr>
          <w:p w14:paraId="77DEDD49" w14:textId="16CB47AA" w:rsidR="00B34595" w:rsidRPr="00B34595" w:rsidRDefault="001D31FB" w:rsidP="00B37B77">
            <w:pPr>
              <w:jc w:val="center"/>
              <w:rPr>
                <w:rFonts w:ascii="Arial" w:hAnsi="Arial" w:cs="Arial"/>
                <w:bCs/>
                <w:sz w:val="24"/>
                <w:szCs w:val="24"/>
              </w:rPr>
            </w:pPr>
            <w:hyperlink w:anchor="_1._Why_do" w:history="1">
              <w:r w:rsidR="00B34595" w:rsidRPr="00B34595">
                <w:rPr>
                  <w:rStyle w:val="Hyperlink"/>
                  <w:rFonts w:ascii="Arial" w:hAnsi="Arial" w:cs="Arial"/>
                  <w:bCs/>
                  <w:sz w:val="24"/>
                  <w:szCs w:val="24"/>
                </w:rPr>
                <w:t>Why do we use Hazards and Warning Markers?</w:t>
              </w:r>
            </w:hyperlink>
          </w:p>
        </w:tc>
        <w:tc>
          <w:tcPr>
            <w:tcW w:w="2046" w:type="dxa"/>
          </w:tcPr>
          <w:p w14:paraId="3BDC2BDD" w14:textId="55B0BEED" w:rsidR="00B34595" w:rsidRPr="00B34595" w:rsidRDefault="00B34595" w:rsidP="00B37B77">
            <w:pPr>
              <w:jc w:val="center"/>
              <w:rPr>
                <w:rFonts w:ascii="Arial" w:hAnsi="Arial" w:cs="Arial"/>
                <w:bCs/>
                <w:sz w:val="24"/>
                <w:szCs w:val="24"/>
              </w:rPr>
            </w:pPr>
            <w:r>
              <w:rPr>
                <w:rFonts w:ascii="Arial" w:hAnsi="Arial" w:cs="Arial"/>
                <w:bCs/>
                <w:sz w:val="24"/>
                <w:szCs w:val="24"/>
              </w:rPr>
              <w:t>3</w:t>
            </w:r>
          </w:p>
        </w:tc>
      </w:tr>
      <w:tr w:rsidR="00B34595" w:rsidRPr="00B34595" w14:paraId="338DB8FF" w14:textId="77777777" w:rsidTr="00B37B77">
        <w:trPr>
          <w:jc w:val="center"/>
        </w:trPr>
        <w:tc>
          <w:tcPr>
            <w:tcW w:w="7196" w:type="dxa"/>
          </w:tcPr>
          <w:p w14:paraId="6CF54685" w14:textId="5D9E4B94" w:rsidR="00B34595" w:rsidRPr="00B34595" w:rsidRDefault="001D31FB" w:rsidP="00B37B77">
            <w:pPr>
              <w:jc w:val="center"/>
              <w:rPr>
                <w:rFonts w:ascii="Arial" w:hAnsi="Arial" w:cs="Arial"/>
                <w:bCs/>
                <w:sz w:val="24"/>
                <w:szCs w:val="24"/>
              </w:rPr>
            </w:pPr>
            <w:hyperlink w:anchor="_2._Compliance_with" w:history="1">
              <w:r w:rsidR="00B34595" w:rsidRPr="00B34595">
                <w:rPr>
                  <w:rStyle w:val="Hyperlink"/>
                  <w:rFonts w:ascii="Arial" w:hAnsi="Arial" w:cs="Arial"/>
                  <w:bCs/>
                  <w:sz w:val="24"/>
                  <w:szCs w:val="24"/>
                </w:rPr>
                <w:t>Compliance with Data Protection and GDPR Legislation</w:t>
              </w:r>
            </w:hyperlink>
          </w:p>
        </w:tc>
        <w:tc>
          <w:tcPr>
            <w:tcW w:w="2046" w:type="dxa"/>
          </w:tcPr>
          <w:p w14:paraId="189F5507" w14:textId="78997E29" w:rsidR="00B34595" w:rsidRPr="00B34595" w:rsidRDefault="00B34595" w:rsidP="00B37B77">
            <w:pPr>
              <w:jc w:val="center"/>
              <w:rPr>
                <w:rFonts w:ascii="Arial" w:hAnsi="Arial" w:cs="Arial"/>
                <w:bCs/>
                <w:sz w:val="24"/>
                <w:szCs w:val="24"/>
              </w:rPr>
            </w:pPr>
            <w:r>
              <w:rPr>
                <w:rFonts w:ascii="Arial" w:hAnsi="Arial" w:cs="Arial"/>
                <w:bCs/>
                <w:sz w:val="24"/>
                <w:szCs w:val="24"/>
              </w:rPr>
              <w:t>3</w:t>
            </w:r>
          </w:p>
        </w:tc>
      </w:tr>
      <w:tr w:rsidR="00B34595" w:rsidRPr="00B34595" w14:paraId="10408996" w14:textId="77777777" w:rsidTr="00B37B77">
        <w:trPr>
          <w:jc w:val="center"/>
        </w:trPr>
        <w:tc>
          <w:tcPr>
            <w:tcW w:w="7196" w:type="dxa"/>
          </w:tcPr>
          <w:p w14:paraId="5EFEE51A" w14:textId="315F6539" w:rsidR="00B34595" w:rsidRPr="00B34595" w:rsidRDefault="001D31FB" w:rsidP="00B37B77">
            <w:pPr>
              <w:jc w:val="center"/>
              <w:rPr>
                <w:rFonts w:ascii="Arial" w:hAnsi="Arial" w:cs="Arial"/>
                <w:bCs/>
                <w:sz w:val="24"/>
                <w:szCs w:val="24"/>
              </w:rPr>
            </w:pPr>
            <w:hyperlink w:anchor="_3._When_should" w:history="1">
              <w:r w:rsidR="00B34595" w:rsidRPr="00B34595">
                <w:rPr>
                  <w:rStyle w:val="Hyperlink"/>
                  <w:rFonts w:ascii="Arial" w:hAnsi="Arial" w:cs="Arial"/>
                  <w:bCs/>
                  <w:sz w:val="24"/>
                  <w:szCs w:val="24"/>
                </w:rPr>
                <w:t>When should a warning marker be recorded</w:t>
              </w:r>
            </w:hyperlink>
          </w:p>
        </w:tc>
        <w:tc>
          <w:tcPr>
            <w:tcW w:w="2046" w:type="dxa"/>
          </w:tcPr>
          <w:p w14:paraId="73A807CF" w14:textId="576CEB4E" w:rsidR="00B34595" w:rsidRPr="00B34595" w:rsidRDefault="00B34595" w:rsidP="00B37B77">
            <w:pPr>
              <w:jc w:val="center"/>
              <w:rPr>
                <w:rFonts w:ascii="Arial" w:hAnsi="Arial" w:cs="Arial"/>
                <w:bCs/>
                <w:sz w:val="24"/>
                <w:szCs w:val="24"/>
              </w:rPr>
            </w:pPr>
            <w:r>
              <w:rPr>
                <w:rFonts w:ascii="Arial" w:hAnsi="Arial" w:cs="Arial"/>
                <w:bCs/>
                <w:sz w:val="24"/>
                <w:szCs w:val="24"/>
              </w:rPr>
              <w:t>4</w:t>
            </w:r>
          </w:p>
        </w:tc>
      </w:tr>
      <w:tr w:rsidR="00B34595" w:rsidRPr="00B34595" w14:paraId="45050329" w14:textId="77777777" w:rsidTr="00B37B77">
        <w:trPr>
          <w:jc w:val="center"/>
        </w:trPr>
        <w:tc>
          <w:tcPr>
            <w:tcW w:w="7196" w:type="dxa"/>
          </w:tcPr>
          <w:p w14:paraId="16EAFCDC" w14:textId="30C134EF" w:rsidR="00B34595" w:rsidRPr="00B34595" w:rsidRDefault="001D31FB" w:rsidP="00B37B77">
            <w:pPr>
              <w:jc w:val="center"/>
              <w:rPr>
                <w:rFonts w:ascii="Arial" w:hAnsi="Arial" w:cs="Arial"/>
                <w:bCs/>
                <w:sz w:val="24"/>
                <w:szCs w:val="24"/>
              </w:rPr>
            </w:pPr>
            <w:hyperlink w:anchor="_4._Process_for" w:history="1">
              <w:r w:rsidR="00B34595" w:rsidRPr="00B34595">
                <w:rPr>
                  <w:rStyle w:val="Hyperlink"/>
                  <w:rFonts w:ascii="Arial" w:hAnsi="Arial" w:cs="Arial"/>
                  <w:bCs/>
                  <w:sz w:val="24"/>
                  <w:szCs w:val="24"/>
                </w:rPr>
                <w:t>Process for adding a Hazard to EHM and Liberi</w:t>
              </w:r>
            </w:hyperlink>
          </w:p>
        </w:tc>
        <w:tc>
          <w:tcPr>
            <w:tcW w:w="2046" w:type="dxa"/>
          </w:tcPr>
          <w:p w14:paraId="4FF354B2" w14:textId="088BF70A" w:rsidR="00B34595" w:rsidRPr="00B34595" w:rsidRDefault="00B34595" w:rsidP="00B37B77">
            <w:pPr>
              <w:jc w:val="center"/>
              <w:rPr>
                <w:rFonts w:ascii="Arial" w:hAnsi="Arial" w:cs="Arial"/>
                <w:bCs/>
                <w:sz w:val="24"/>
                <w:szCs w:val="24"/>
              </w:rPr>
            </w:pPr>
            <w:r>
              <w:rPr>
                <w:rFonts w:ascii="Arial" w:hAnsi="Arial" w:cs="Arial"/>
                <w:bCs/>
                <w:sz w:val="24"/>
                <w:szCs w:val="24"/>
              </w:rPr>
              <w:t>5</w:t>
            </w:r>
          </w:p>
        </w:tc>
      </w:tr>
      <w:tr w:rsidR="00B34595" w:rsidRPr="00B34595" w14:paraId="10978454" w14:textId="77777777" w:rsidTr="00B37B77">
        <w:trPr>
          <w:jc w:val="center"/>
        </w:trPr>
        <w:tc>
          <w:tcPr>
            <w:tcW w:w="7196" w:type="dxa"/>
          </w:tcPr>
          <w:p w14:paraId="6C571535" w14:textId="07C62458" w:rsidR="00B34595" w:rsidRPr="00B34595" w:rsidRDefault="001D31FB" w:rsidP="00B37B77">
            <w:pPr>
              <w:jc w:val="center"/>
              <w:rPr>
                <w:rFonts w:ascii="Arial" w:hAnsi="Arial" w:cs="Arial"/>
                <w:bCs/>
                <w:sz w:val="24"/>
                <w:szCs w:val="24"/>
              </w:rPr>
            </w:pPr>
            <w:hyperlink w:anchor="_5._Maintenance_and" w:history="1">
              <w:r w:rsidR="00B34595" w:rsidRPr="00B34595">
                <w:rPr>
                  <w:rStyle w:val="Hyperlink"/>
                  <w:rFonts w:ascii="Arial" w:hAnsi="Arial" w:cs="Arial"/>
                  <w:bCs/>
                  <w:sz w:val="24"/>
                  <w:szCs w:val="24"/>
                </w:rPr>
                <w:t>Maintenance and Review of Hazards and Warnings Markers</w:t>
              </w:r>
            </w:hyperlink>
          </w:p>
        </w:tc>
        <w:tc>
          <w:tcPr>
            <w:tcW w:w="2046" w:type="dxa"/>
          </w:tcPr>
          <w:p w14:paraId="63D57FDF" w14:textId="7C90FD17" w:rsidR="00B34595" w:rsidRPr="00B34595" w:rsidRDefault="00B34595" w:rsidP="00B37B77">
            <w:pPr>
              <w:jc w:val="center"/>
              <w:rPr>
                <w:rFonts w:ascii="Arial" w:hAnsi="Arial" w:cs="Arial"/>
                <w:bCs/>
                <w:sz w:val="24"/>
                <w:szCs w:val="24"/>
              </w:rPr>
            </w:pPr>
            <w:r>
              <w:rPr>
                <w:rFonts w:ascii="Arial" w:hAnsi="Arial" w:cs="Arial"/>
                <w:bCs/>
                <w:sz w:val="24"/>
                <w:szCs w:val="24"/>
              </w:rPr>
              <w:t>5</w:t>
            </w:r>
          </w:p>
        </w:tc>
      </w:tr>
      <w:tr w:rsidR="00B34595" w:rsidRPr="00B34595" w14:paraId="28399FE9" w14:textId="77777777" w:rsidTr="00B37B77">
        <w:trPr>
          <w:jc w:val="center"/>
        </w:trPr>
        <w:tc>
          <w:tcPr>
            <w:tcW w:w="7196" w:type="dxa"/>
          </w:tcPr>
          <w:p w14:paraId="1FBC36BA" w14:textId="31C9610E" w:rsidR="00B34595" w:rsidRPr="00B34595" w:rsidRDefault="00B34595" w:rsidP="00B37B77">
            <w:pPr>
              <w:jc w:val="center"/>
              <w:rPr>
                <w:rFonts w:ascii="Arial" w:hAnsi="Arial" w:cs="Arial"/>
                <w:bCs/>
                <w:sz w:val="24"/>
                <w:szCs w:val="24"/>
              </w:rPr>
            </w:pPr>
          </w:p>
        </w:tc>
        <w:tc>
          <w:tcPr>
            <w:tcW w:w="2046" w:type="dxa"/>
          </w:tcPr>
          <w:p w14:paraId="128C377E" w14:textId="77777777" w:rsidR="00B34595" w:rsidRPr="00B34595" w:rsidRDefault="00B34595" w:rsidP="00B37B77">
            <w:pPr>
              <w:jc w:val="center"/>
              <w:rPr>
                <w:rFonts w:ascii="Arial" w:hAnsi="Arial" w:cs="Arial"/>
                <w:bCs/>
                <w:sz w:val="24"/>
                <w:szCs w:val="24"/>
              </w:rPr>
            </w:pPr>
          </w:p>
        </w:tc>
      </w:tr>
      <w:tr w:rsidR="00B34595" w:rsidRPr="00B34595" w14:paraId="2E0C873B" w14:textId="77777777" w:rsidTr="00B37B77">
        <w:trPr>
          <w:jc w:val="center"/>
        </w:trPr>
        <w:tc>
          <w:tcPr>
            <w:tcW w:w="7196" w:type="dxa"/>
          </w:tcPr>
          <w:p w14:paraId="45B87DE5" w14:textId="77777777" w:rsidR="00B34595" w:rsidRPr="00B34595" w:rsidRDefault="00B34595" w:rsidP="00B37B77">
            <w:pPr>
              <w:jc w:val="center"/>
              <w:rPr>
                <w:rFonts w:ascii="Arial" w:hAnsi="Arial" w:cs="Arial"/>
                <w:bCs/>
                <w:sz w:val="24"/>
                <w:szCs w:val="24"/>
              </w:rPr>
            </w:pPr>
          </w:p>
        </w:tc>
        <w:tc>
          <w:tcPr>
            <w:tcW w:w="2046" w:type="dxa"/>
          </w:tcPr>
          <w:p w14:paraId="51C28246" w14:textId="77777777" w:rsidR="00B34595" w:rsidRPr="00B34595" w:rsidRDefault="00B34595" w:rsidP="00B37B77">
            <w:pPr>
              <w:jc w:val="center"/>
              <w:rPr>
                <w:rFonts w:ascii="Arial" w:hAnsi="Arial" w:cs="Arial"/>
                <w:bCs/>
                <w:sz w:val="24"/>
                <w:szCs w:val="24"/>
              </w:rPr>
            </w:pPr>
          </w:p>
        </w:tc>
      </w:tr>
      <w:tr w:rsidR="00B34595" w:rsidRPr="00B34595" w14:paraId="4BD6FEC7" w14:textId="77777777" w:rsidTr="00B37B77">
        <w:trPr>
          <w:jc w:val="center"/>
        </w:trPr>
        <w:tc>
          <w:tcPr>
            <w:tcW w:w="7196" w:type="dxa"/>
          </w:tcPr>
          <w:p w14:paraId="31ACA712" w14:textId="77777777" w:rsidR="00B34595" w:rsidRPr="00B34595" w:rsidRDefault="00B34595" w:rsidP="00B37B77">
            <w:pPr>
              <w:jc w:val="center"/>
              <w:rPr>
                <w:rFonts w:ascii="Arial" w:hAnsi="Arial" w:cs="Arial"/>
                <w:bCs/>
                <w:sz w:val="24"/>
                <w:szCs w:val="24"/>
              </w:rPr>
            </w:pPr>
          </w:p>
        </w:tc>
        <w:tc>
          <w:tcPr>
            <w:tcW w:w="2046" w:type="dxa"/>
          </w:tcPr>
          <w:p w14:paraId="47921FB3" w14:textId="77777777" w:rsidR="00B34595" w:rsidRPr="00B34595" w:rsidRDefault="00B34595" w:rsidP="00B37B77">
            <w:pPr>
              <w:jc w:val="center"/>
              <w:rPr>
                <w:rFonts w:ascii="Arial" w:hAnsi="Arial" w:cs="Arial"/>
                <w:bCs/>
                <w:sz w:val="24"/>
                <w:szCs w:val="24"/>
              </w:rPr>
            </w:pPr>
          </w:p>
        </w:tc>
      </w:tr>
      <w:tr w:rsidR="00B34595" w:rsidRPr="00B34595" w14:paraId="6911B349" w14:textId="77777777" w:rsidTr="00B37B77">
        <w:trPr>
          <w:jc w:val="center"/>
        </w:trPr>
        <w:tc>
          <w:tcPr>
            <w:tcW w:w="7196" w:type="dxa"/>
          </w:tcPr>
          <w:p w14:paraId="11F8EF96" w14:textId="77777777" w:rsidR="00B34595" w:rsidRPr="00B34595" w:rsidRDefault="00B34595" w:rsidP="00B37B77">
            <w:pPr>
              <w:jc w:val="center"/>
              <w:rPr>
                <w:rFonts w:ascii="Arial" w:hAnsi="Arial" w:cs="Arial"/>
                <w:bCs/>
                <w:sz w:val="24"/>
                <w:szCs w:val="24"/>
              </w:rPr>
            </w:pPr>
          </w:p>
        </w:tc>
        <w:tc>
          <w:tcPr>
            <w:tcW w:w="2046" w:type="dxa"/>
          </w:tcPr>
          <w:p w14:paraId="160C186C" w14:textId="77777777" w:rsidR="00B34595" w:rsidRPr="00B34595" w:rsidRDefault="00B34595" w:rsidP="00B37B77">
            <w:pPr>
              <w:jc w:val="center"/>
              <w:rPr>
                <w:rFonts w:ascii="Arial" w:hAnsi="Arial" w:cs="Arial"/>
                <w:bCs/>
                <w:sz w:val="24"/>
                <w:szCs w:val="24"/>
              </w:rPr>
            </w:pPr>
          </w:p>
        </w:tc>
      </w:tr>
      <w:tr w:rsidR="00B34595" w:rsidRPr="00B34595" w14:paraId="6A2C33A9" w14:textId="77777777" w:rsidTr="00B37B77">
        <w:trPr>
          <w:jc w:val="center"/>
        </w:trPr>
        <w:tc>
          <w:tcPr>
            <w:tcW w:w="7196" w:type="dxa"/>
          </w:tcPr>
          <w:p w14:paraId="6717DF5E" w14:textId="77777777" w:rsidR="00B34595" w:rsidRPr="00B34595" w:rsidRDefault="00B34595" w:rsidP="00B37B77">
            <w:pPr>
              <w:jc w:val="center"/>
              <w:rPr>
                <w:rFonts w:ascii="Arial" w:hAnsi="Arial" w:cs="Arial"/>
                <w:bCs/>
                <w:sz w:val="24"/>
                <w:szCs w:val="24"/>
              </w:rPr>
            </w:pPr>
          </w:p>
        </w:tc>
        <w:tc>
          <w:tcPr>
            <w:tcW w:w="2046" w:type="dxa"/>
          </w:tcPr>
          <w:p w14:paraId="19E10FEA" w14:textId="77777777" w:rsidR="00B34595" w:rsidRPr="00B34595" w:rsidRDefault="00B34595" w:rsidP="00B37B77">
            <w:pPr>
              <w:jc w:val="center"/>
              <w:rPr>
                <w:rFonts w:ascii="Arial" w:hAnsi="Arial" w:cs="Arial"/>
                <w:bCs/>
                <w:sz w:val="24"/>
                <w:szCs w:val="24"/>
              </w:rPr>
            </w:pPr>
          </w:p>
        </w:tc>
      </w:tr>
      <w:tr w:rsidR="00B34595" w:rsidRPr="00B34595" w14:paraId="576336AE" w14:textId="77777777" w:rsidTr="00B37B77">
        <w:trPr>
          <w:jc w:val="center"/>
        </w:trPr>
        <w:tc>
          <w:tcPr>
            <w:tcW w:w="7196" w:type="dxa"/>
          </w:tcPr>
          <w:p w14:paraId="3CC6C851" w14:textId="77777777" w:rsidR="00B34595" w:rsidRPr="00B34595" w:rsidRDefault="00B34595" w:rsidP="00B37B77">
            <w:pPr>
              <w:jc w:val="center"/>
              <w:rPr>
                <w:rFonts w:ascii="Arial" w:hAnsi="Arial" w:cs="Arial"/>
                <w:bCs/>
                <w:sz w:val="24"/>
                <w:szCs w:val="24"/>
              </w:rPr>
            </w:pPr>
          </w:p>
        </w:tc>
        <w:tc>
          <w:tcPr>
            <w:tcW w:w="2046" w:type="dxa"/>
          </w:tcPr>
          <w:p w14:paraId="30FF90D0" w14:textId="77777777" w:rsidR="00B34595" w:rsidRPr="00B34595" w:rsidRDefault="00B34595" w:rsidP="00B37B77">
            <w:pPr>
              <w:jc w:val="center"/>
              <w:rPr>
                <w:rFonts w:ascii="Arial" w:hAnsi="Arial" w:cs="Arial"/>
                <w:bCs/>
                <w:sz w:val="24"/>
                <w:szCs w:val="24"/>
              </w:rPr>
            </w:pPr>
          </w:p>
        </w:tc>
      </w:tr>
      <w:tr w:rsidR="00B34595" w:rsidRPr="00B34595" w14:paraId="1582EB7B" w14:textId="77777777" w:rsidTr="00B37B77">
        <w:trPr>
          <w:jc w:val="center"/>
        </w:trPr>
        <w:tc>
          <w:tcPr>
            <w:tcW w:w="7196" w:type="dxa"/>
          </w:tcPr>
          <w:p w14:paraId="1435971E" w14:textId="77777777" w:rsidR="00B34595" w:rsidRPr="00B34595" w:rsidRDefault="00B34595" w:rsidP="00B37B77">
            <w:pPr>
              <w:jc w:val="center"/>
              <w:rPr>
                <w:rFonts w:ascii="Arial" w:hAnsi="Arial" w:cs="Arial"/>
                <w:bCs/>
                <w:sz w:val="24"/>
                <w:szCs w:val="24"/>
              </w:rPr>
            </w:pPr>
          </w:p>
        </w:tc>
        <w:tc>
          <w:tcPr>
            <w:tcW w:w="2046" w:type="dxa"/>
          </w:tcPr>
          <w:p w14:paraId="66F30E92" w14:textId="77777777" w:rsidR="00B34595" w:rsidRPr="00B34595" w:rsidRDefault="00B34595" w:rsidP="00B37B77">
            <w:pPr>
              <w:jc w:val="center"/>
              <w:rPr>
                <w:rFonts w:ascii="Arial" w:hAnsi="Arial" w:cs="Arial"/>
                <w:bCs/>
                <w:sz w:val="24"/>
                <w:szCs w:val="24"/>
              </w:rPr>
            </w:pPr>
          </w:p>
        </w:tc>
      </w:tr>
      <w:tr w:rsidR="00B34595" w:rsidRPr="00B34595" w14:paraId="3D314FFA" w14:textId="77777777" w:rsidTr="00B37B77">
        <w:trPr>
          <w:jc w:val="center"/>
        </w:trPr>
        <w:tc>
          <w:tcPr>
            <w:tcW w:w="7196" w:type="dxa"/>
          </w:tcPr>
          <w:p w14:paraId="5A908B80" w14:textId="77777777" w:rsidR="00B34595" w:rsidRPr="00B34595" w:rsidRDefault="00B34595" w:rsidP="00B37B77">
            <w:pPr>
              <w:jc w:val="center"/>
              <w:rPr>
                <w:rFonts w:ascii="Arial" w:hAnsi="Arial" w:cs="Arial"/>
                <w:bCs/>
                <w:sz w:val="24"/>
                <w:szCs w:val="24"/>
              </w:rPr>
            </w:pPr>
          </w:p>
        </w:tc>
        <w:tc>
          <w:tcPr>
            <w:tcW w:w="2046" w:type="dxa"/>
          </w:tcPr>
          <w:p w14:paraId="764481B7" w14:textId="77777777" w:rsidR="00B34595" w:rsidRPr="00B34595" w:rsidRDefault="00B34595" w:rsidP="00B37B77">
            <w:pPr>
              <w:jc w:val="center"/>
              <w:rPr>
                <w:rFonts w:ascii="Arial" w:hAnsi="Arial" w:cs="Arial"/>
                <w:bCs/>
                <w:sz w:val="24"/>
                <w:szCs w:val="24"/>
              </w:rPr>
            </w:pPr>
          </w:p>
        </w:tc>
      </w:tr>
      <w:tr w:rsidR="00B34595" w:rsidRPr="00B34595" w14:paraId="7C421EF0" w14:textId="77777777" w:rsidTr="00B37B77">
        <w:trPr>
          <w:jc w:val="center"/>
        </w:trPr>
        <w:tc>
          <w:tcPr>
            <w:tcW w:w="7196" w:type="dxa"/>
          </w:tcPr>
          <w:p w14:paraId="27D60576" w14:textId="77777777" w:rsidR="00B34595" w:rsidRPr="00B34595" w:rsidRDefault="00B34595" w:rsidP="00B37B77">
            <w:pPr>
              <w:jc w:val="center"/>
              <w:rPr>
                <w:rFonts w:ascii="Arial" w:hAnsi="Arial" w:cs="Arial"/>
                <w:bCs/>
                <w:sz w:val="24"/>
                <w:szCs w:val="24"/>
              </w:rPr>
            </w:pPr>
          </w:p>
        </w:tc>
        <w:tc>
          <w:tcPr>
            <w:tcW w:w="2046" w:type="dxa"/>
          </w:tcPr>
          <w:p w14:paraId="589C38F6" w14:textId="77777777" w:rsidR="00B34595" w:rsidRPr="00B34595" w:rsidRDefault="00B34595" w:rsidP="00B37B77">
            <w:pPr>
              <w:jc w:val="center"/>
              <w:rPr>
                <w:rFonts w:ascii="Arial" w:hAnsi="Arial" w:cs="Arial"/>
                <w:bCs/>
                <w:sz w:val="24"/>
                <w:szCs w:val="24"/>
              </w:rPr>
            </w:pPr>
          </w:p>
        </w:tc>
      </w:tr>
    </w:tbl>
    <w:p w14:paraId="3F5A6098" w14:textId="77777777" w:rsidR="00B34595" w:rsidRDefault="00B34595" w:rsidP="00D33A8C">
      <w:pPr>
        <w:spacing w:line="276" w:lineRule="auto"/>
        <w:jc w:val="both"/>
        <w:rPr>
          <w:rFonts w:ascii="Arial" w:hAnsi="Arial" w:cs="Arial"/>
          <w:sz w:val="24"/>
          <w:szCs w:val="24"/>
        </w:rPr>
      </w:pPr>
    </w:p>
    <w:p w14:paraId="59489C46" w14:textId="77777777" w:rsidR="00B34595" w:rsidRDefault="00B34595" w:rsidP="00D33A8C">
      <w:pPr>
        <w:spacing w:line="276" w:lineRule="auto"/>
        <w:jc w:val="both"/>
        <w:rPr>
          <w:rFonts w:ascii="Arial" w:hAnsi="Arial" w:cs="Arial"/>
          <w:sz w:val="24"/>
          <w:szCs w:val="24"/>
        </w:rPr>
      </w:pPr>
    </w:p>
    <w:p w14:paraId="039BB4E1" w14:textId="77777777" w:rsidR="00B34595" w:rsidRDefault="00B34595" w:rsidP="00D33A8C">
      <w:pPr>
        <w:spacing w:line="276" w:lineRule="auto"/>
        <w:jc w:val="both"/>
        <w:rPr>
          <w:rFonts w:ascii="Arial" w:hAnsi="Arial" w:cs="Arial"/>
          <w:sz w:val="24"/>
          <w:szCs w:val="24"/>
        </w:rPr>
      </w:pPr>
    </w:p>
    <w:p w14:paraId="73C484FA" w14:textId="77777777" w:rsidR="00B34595" w:rsidRDefault="00B34595" w:rsidP="00D33A8C">
      <w:pPr>
        <w:spacing w:line="276" w:lineRule="auto"/>
        <w:jc w:val="both"/>
        <w:rPr>
          <w:rFonts w:ascii="Arial" w:hAnsi="Arial" w:cs="Arial"/>
          <w:sz w:val="24"/>
          <w:szCs w:val="24"/>
        </w:rPr>
      </w:pPr>
    </w:p>
    <w:p w14:paraId="70599C19" w14:textId="77777777" w:rsidR="00B34595" w:rsidRDefault="00B34595" w:rsidP="00D33A8C">
      <w:pPr>
        <w:spacing w:line="276" w:lineRule="auto"/>
        <w:jc w:val="both"/>
        <w:rPr>
          <w:rFonts w:ascii="Arial" w:hAnsi="Arial" w:cs="Arial"/>
          <w:sz w:val="24"/>
          <w:szCs w:val="24"/>
        </w:rPr>
      </w:pPr>
    </w:p>
    <w:p w14:paraId="2BFDE4A6" w14:textId="77777777" w:rsidR="00B34595" w:rsidRDefault="00B34595" w:rsidP="00D33A8C">
      <w:pPr>
        <w:spacing w:line="276" w:lineRule="auto"/>
        <w:jc w:val="both"/>
        <w:rPr>
          <w:rFonts w:ascii="Arial" w:hAnsi="Arial" w:cs="Arial"/>
          <w:sz w:val="24"/>
          <w:szCs w:val="24"/>
        </w:rPr>
      </w:pPr>
    </w:p>
    <w:p w14:paraId="2734A874" w14:textId="77777777" w:rsidR="00B34595" w:rsidRDefault="00B34595" w:rsidP="00D33A8C">
      <w:pPr>
        <w:spacing w:line="276" w:lineRule="auto"/>
        <w:jc w:val="both"/>
        <w:rPr>
          <w:rFonts w:ascii="Arial" w:hAnsi="Arial" w:cs="Arial"/>
          <w:sz w:val="24"/>
          <w:szCs w:val="24"/>
        </w:rPr>
      </w:pPr>
    </w:p>
    <w:p w14:paraId="70A938DD" w14:textId="77777777" w:rsidR="00B34595" w:rsidRDefault="00B34595" w:rsidP="00D33A8C">
      <w:pPr>
        <w:spacing w:line="276" w:lineRule="auto"/>
        <w:jc w:val="both"/>
        <w:rPr>
          <w:rFonts w:ascii="Arial" w:hAnsi="Arial" w:cs="Arial"/>
          <w:sz w:val="24"/>
          <w:szCs w:val="24"/>
        </w:rPr>
      </w:pPr>
    </w:p>
    <w:p w14:paraId="7D4499D8" w14:textId="77777777" w:rsidR="00B34595" w:rsidRDefault="00B34595" w:rsidP="00D33A8C">
      <w:pPr>
        <w:spacing w:line="276" w:lineRule="auto"/>
        <w:jc w:val="both"/>
        <w:rPr>
          <w:rFonts w:ascii="Arial" w:hAnsi="Arial" w:cs="Arial"/>
          <w:sz w:val="24"/>
          <w:szCs w:val="24"/>
        </w:rPr>
      </w:pPr>
    </w:p>
    <w:p w14:paraId="5A78A10F" w14:textId="77777777" w:rsidR="00B34595" w:rsidRDefault="00B34595" w:rsidP="00D33A8C">
      <w:pPr>
        <w:spacing w:line="276" w:lineRule="auto"/>
        <w:jc w:val="both"/>
        <w:rPr>
          <w:rFonts w:ascii="Arial" w:hAnsi="Arial" w:cs="Arial"/>
          <w:sz w:val="24"/>
          <w:szCs w:val="24"/>
        </w:rPr>
      </w:pPr>
    </w:p>
    <w:p w14:paraId="66196CD1" w14:textId="77777777" w:rsidR="00B34595" w:rsidRDefault="00B34595" w:rsidP="00D33A8C">
      <w:pPr>
        <w:spacing w:line="276" w:lineRule="auto"/>
        <w:jc w:val="both"/>
        <w:rPr>
          <w:rFonts w:ascii="Arial" w:hAnsi="Arial" w:cs="Arial"/>
          <w:sz w:val="24"/>
          <w:szCs w:val="24"/>
        </w:rPr>
      </w:pPr>
    </w:p>
    <w:p w14:paraId="0ECD5366" w14:textId="77777777" w:rsidR="00B34595" w:rsidRDefault="00B34595" w:rsidP="00D33A8C">
      <w:pPr>
        <w:spacing w:line="276" w:lineRule="auto"/>
        <w:jc w:val="both"/>
        <w:rPr>
          <w:rFonts w:ascii="Arial" w:hAnsi="Arial" w:cs="Arial"/>
          <w:sz w:val="24"/>
          <w:szCs w:val="24"/>
        </w:rPr>
      </w:pPr>
    </w:p>
    <w:p w14:paraId="404D51C4" w14:textId="77777777" w:rsidR="00B34595" w:rsidRDefault="00B34595" w:rsidP="00D33A8C">
      <w:pPr>
        <w:spacing w:line="276" w:lineRule="auto"/>
        <w:jc w:val="both"/>
        <w:rPr>
          <w:rFonts w:ascii="Arial" w:hAnsi="Arial" w:cs="Arial"/>
          <w:sz w:val="24"/>
          <w:szCs w:val="24"/>
        </w:rPr>
      </w:pPr>
    </w:p>
    <w:p w14:paraId="3D31D31E" w14:textId="77777777" w:rsidR="00B34595" w:rsidRDefault="00B34595" w:rsidP="00D33A8C">
      <w:pPr>
        <w:spacing w:line="276" w:lineRule="auto"/>
        <w:jc w:val="both"/>
        <w:rPr>
          <w:rFonts w:ascii="Arial" w:hAnsi="Arial" w:cs="Arial"/>
          <w:sz w:val="24"/>
          <w:szCs w:val="24"/>
        </w:rPr>
      </w:pPr>
    </w:p>
    <w:p w14:paraId="7F362F06" w14:textId="77777777" w:rsidR="00B34595" w:rsidRDefault="00B34595" w:rsidP="00D33A8C">
      <w:pPr>
        <w:spacing w:line="276" w:lineRule="auto"/>
        <w:jc w:val="both"/>
        <w:rPr>
          <w:rFonts w:ascii="Arial" w:hAnsi="Arial" w:cs="Arial"/>
          <w:sz w:val="24"/>
          <w:szCs w:val="24"/>
        </w:rPr>
      </w:pPr>
    </w:p>
    <w:p w14:paraId="73C90811" w14:textId="77777777" w:rsidR="00B34595" w:rsidRDefault="00B34595" w:rsidP="00D33A8C">
      <w:pPr>
        <w:spacing w:line="276" w:lineRule="auto"/>
        <w:jc w:val="both"/>
        <w:rPr>
          <w:rFonts w:ascii="Arial" w:hAnsi="Arial" w:cs="Arial"/>
          <w:sz w:val="24"/>
          <w:szCs w:val="24"/>
        </w:rPr>
      </w:pPr>
    </w:p>
    <w:p w14:paraId="465D3C78" w14:textId="77777777" w:rsidR="00B34595" w:rsidRDefault="00B34595" w:rsidP="00D33A8C">
      <w:pPr>
        <w:spacing w:line="276" w:lineRule="auto"/>
        <w:jc w:val="both"/>
        <w:rPr>
          <w:rFonts w:ascii="Arial" w:hAnsi="Arial" w:cs="Arial"/>
          <w:sz w:val="24"/>
          <w:szCs w:val="24"/>
        </w:rPr>
      </w:pPr>
    </w:p>
    <w:p w14:paraId="613B3352" w14:textId="77777777" w:rsidR="00B34595" w:rsidRDefault="00B34595" w:rsidP="00D33A8C">
      <w:pPr>
        <w:spacing w:line="276" w:lineRule="auto"/>
        <w:jc w:val="both"/>
        <w:rPr>
          <w:rFonts w:ascii="Arial" w:hAnsi="Arial" w:cs="Arial"/>
          <w:sz w:val="24"/>
          <w:szCs w:val="24"/>
        </w:rPr>
      </w:pPr>
    </w:p>
    <w:p w14:paraId="4CE78E1F" w14:textId="77777777" w:rsidR="00B34595" w:rsidRDefault="00B34595" w:rsidP="00D33A8C">
      <w:pPr>
        <w:spacing w:line="276" w:lineRule="auto"/>
        <w:jc w:val="both"/>
        <w:rPr>
          <w:rFonts w:ascii="Arial" w:hAnsi="Arial" w:cs="Arial"/>
          <w:sz w:val="24"/>
          <w:szCs w:val="24"/>
        </w:rPr>
      </w:pPr>
    </w:p>
    <w:p w14:paraId="0DA53116" w14:textId="45EA70FC" w:rsidR="00D33A8C" w:rsidRPr="00D33A8C" w:rsidRDefault="00D33A8C" w:rsidP="00D33A8C">
      <w:pPr>
        <w:spacing w:line="276" w:lineRule="auto"/>
        <w:jc w:val="both"/>
        <w:rPr>
          <w:rFonts w:ascii="Arial" w:hAnsi="Arial" w:cs="Arial"/>
          <w:sz w:val="24"/>
          <w:szCs w:val="24"/>
        </w:rPr>
      </w:pPr>
      <w:r w:rsidRPr="00D33A8C">
        <w:rPr>
          <w:rFonts w:ascii="Arial" w:hAnsi="Arial" w:cs="Arial"/>
          <w:sz w:val="24"/>
          <w:szCs w:val="24"/>
        </w:rPr>
        <w:lastRenderedPageBreak/>
        <w:t>The prevention and management of risks to staff working within Integrated Children Services requires that all risks and hazards be recorded on EHM</w:t>
      </w:r>
      <w:r w:rsidR="00250706">
        <w:rPr>
          <w:rFonts w:ascii="Arial" w:hAnsi="Arial" w:cs="Arial"/>
          <w:sz w:val="24"/>
          <w:szCs w:val="24"/>
        </w:rPr>
        <w:t xml:space="preserve"> and</w:t>
      </w:r>
      <w:r w:rsidRPr="00D33A8C">
        <w:rPr>
          <w:rFonts w:ascii="Arial" w:hAnsi="Arial" w:cs="Arial"/>
          <w:sz w:val="24"/>
          <w:szCs w:val="24"/>
        </w:rPr>
        <w:t xml:space="preserve"> </w:t>
      </w:r>
      <w:proofErr w:type="gramStart"/>
      <w:r w:rsidRPr="00D33A8C">
        <w:rPr>
          <w:rFonts w:ascii="Arial" w:hAnsi="Arial" w:cs="Arial"/>
          <w:sz w:val="24"/>
          <w:szCs w:val="24"/>
        </w:rPr>
        <w:t>Liberi  in</w:t>
      </w:r>
      <w:proofErr w:type="gramEnd"/>
      <w:r w:rsidRPr="00D33A8C">
        <w:rPr>
          <w:rFonts w:ascii="Arial" w:hAnsi="Arial" w:cs="Arial"/>
          <w:sz w:val="24"/>
          <w:szCs w:val="24"/>
        </w:rPr>
        <w:t xml:space="preserve"> accordance with this guidance. </w:t>
      </w:r>
    </w:p>
    <w:p w14:paraId="7DF5EE3F" w14:textId="77777777" w:rsidR="00D33A8C" w:rsidRPr="00D33A8C" w:rsidRDefault="00D33A8C" w:rsidP="00D33A8C">
      <w:pPr>
        <w:spacing w:line="276" w:lineRule="auto"/>
        <w:jc w:val="both"/>
        <w:rPr>
          <w:rFonts w:ascii="Arial" w:hAnsi="Arial" w:cs="Arial"/>
          <w:sz w:val="12"/>
          <w:szCs w:val="12"/>
        </w:rPr>
      </w:pPr>
    </w:p>
    <w:p w14:paraId="1558E1E6" w14:textId="2B28C2B8" w:rsidR="00D33A8C" w:rsidRPr="00D33A8C" w:rsidRDefault="00D33A8C" w:rsidP="00D33A8C">
      <w:pPr>
        <w:pStyle w:val="ListParagraph"/>
        <w:numPr>
          <w:ilvl w:val="0"/>
          <w:numId w:val="1"/>
        </w:numPr>
        <w:spacing w:line="276" w:lineRule="auto"/>
        <w:jc w:val="both"/>
        <w:rPr>
          <w:rFonts w:ascii="Arial" w:hAnsi="Arial" w:cs="Arial"/>
          <w:sz w:val="24"/>
          <w:szCs w:val="24"/>
        </w:rPr>
      </w:pPr>
      <w:r w:rsidRPr="00D33A8C">
        <w:rPr>
          <w:rFonts w:ascii="Arial" w:hAnsi="Arial" w:cs="Arial"/>
          <w:sz w:val="24"/>
          <w:szCs w:val="24"/>
        </w:rPr>
        <w:t>A hazard/risk is defined as a behaviour, situation or something with the inherent ‘potential to cause harm’ to a child, parent or member of staff. This can include violence, substance misuse, dangerous implements, such as that use as weapons (knives, guns, etc) or a hazardous environment.</w:t>
      </w:r>
    </w:p>
    <w:p w14:paraId="0DDF0448" w14:textId="5D27A722" w:rsidR="00D33A8C" w:rsidRPr="00D33A8C" w:rsidRDefault="00D33A8C" w:rsidP="00D33A8C">
      <w:pPr>
        <w:pStyle w:val="ListParagraph"/>
        <w:numPr>
          <w:ilvl w:val="0"/>
          <w:numId w:val="1"/>
        </w:numPr>
        <w:spacing w:line="276" w:lineRule="auto"/>
        <w:jc w:val="both"/>
        <w:rPr>
          <w:rFonts w:ascii="Arial" w:hAnsi="Arial" w:cs="Arial"/>
          <w:sz w:val="24"/>
          <w:szCs w:val="24"/>
        </w:rPr>
      </w:pPr>
      <w:r w:rsidRPr="00D33A8C">
        <w:rPr>
          <w:rFonts w:ascii="Arial" w:hAnsi="Arial" w:cs="Arial"/>
          <w:sz w:val="24"/>
          <w:szCs w:val="24"/>
        </w:rPr>
        <w:t>A Warning Marker is a term used for identifying how these are flagged within systems.</w:t>
      </w:r>
    </w:p>
    <w:p w14:paraId="3FB3FBD3" w14:textId="77777777" w:rsidR="00D33A8C" w:rsidRPr="00D33A8C" w:rsidRDefault="00D33A8C" w:rsidP="00D33A8C">
      <w:pPr>
        <w:spacing w:line="276" w:lineRule="auto"/>
        <w:jc w:val="both"/>
        <w:rPr>
          <w:rFonts w:ascii="Arial" w:hAnsi="Arial" w:cs="Arial"/>
          <w:sz w:val="2"/>
          <w:szCs w:val="2"/>
        </w:rPr>
      </w:pPr>
    </w:p>
    <w:p w14:paraId="0502AE64" w14:textId="4FFC84AA" w:rsidR="00D33A8C" w:rsidRPr="00D33A8C" w:rsidRDefault="00D33A8C" w:rsidP="00D33A8C">
      <w:pPr>
        <w:spacing w:line="276" w:lineRule="auto"/>
        <w:jc w:val="both"/>
        <w:rPr>
          <w:rFonts w:ascii="Arial" w:hAnsi="Arial" w:cs="Arial"/>
          <w:sz w:val="28"/>
          <w:szCs w:val="28"/>
        </w:rPr>
      </w:pPr>
      <w:r w:rsidRPr="00D33A8C">
        <w:rPr>
          <w:rFonts w:ascii="Arial" w:hAnsi="Arial" w:cs="Arial"/>
          <w:sz w:val="24"/>
          <w:szCs w:val="24"/>
        </w:rPr>
        <w:t>This guidance describes how this information should be recorded to comply with data protection principles, including arrangements for the review, retention and the sharing of information</w:t>
      </w:r>
      <w:r w:rsidRPr="00D33A8C">
        <w:rPr>
          <w:rFonts w:ascii="Arial" w:hAnsi="Arial" w:cs="Arial"/>
          <w:sz w:val="28"/>
          <w:szCs w:val="28"/>
        </w:rPr>
        <w:t>.</w:t>
      </w:r>
    </w:p>
    <w:p w14:paraId="477E3678" w14:textId="77777777" w:rsidR="00D33A8C" w:rsidRPr="00D33A8C" w:rsidRDefault="00D33A8C" w:rsidP="00D33A8C">
      <w:pPr>
        <w:spacing w:line="276" w:lineRule="auto"/>
        <w:jc w:val="both"/>
        <w:rPr>
          <w:rFonts w:ascii="Arial" w:hAnsi="Arial" w:cs="Arial"/>
          <w:sz w:val="14"/>
          <w:szCs w:val="14"/>
        </w:rPr>
      </w:pPr>
    </w:p>
    <w:p w14:paraId="390288E0" w14:textId="77777777" w:rsidR="00D33A8C" w:rsidRPr="00E61EF4" w:rsidRDefault="00D33A8C" w:rsidP="00D33A8C">
      <w:pPr>
        <w:pStyle w:val="Heading1"/>
        <w:spacing w:before="120" w:after="120" w:line="276" w:lineRule="auto"/>
        <w:jc w:val="both"/>
      </w:pPr>
      <w:bookmarkStart w:id="2" w:name="_1._Why_do"/>
      <w:bookmarkEnd w:id="2"/>
      <w:r>
        <w:t xml:space="preserve">1. </w:t>
      </w:r>
      <w:r w:rsidRPr="00E61EF4">
        <w:t>Why do we use Hazards and Warning Markers?</w:t>
      </w:r>
    </w:p>
    <w:p w14:paraId="720613AE" w14:textId="61B7C3A2" w:rsidR="00D33A8C" w:rsidRPr="00D33A8C" w:rsidRDefault="00D33A8C" w:rsidP="00BA636F">
      <w:pPr>
        <w:spacing w:before="120" w:after="120" w:line="276" w:lineRule="auto"/>
        <w:jc w:val="both"/>
      </w:pPr>
      <w:r w:rsidRPr="00BA636F">
        <w:rPr>
          <w:rFonts w:ascii="Arial" w:hAnsi="Arial" w:cs="Arial"/>
          <w:sz w:val="24"/>
          <w:szCs w:val="24"/>
        </w:rPr>
        <w:t>Hazards and Warning Markers are a means of identifying and recording concerns that some individuals pose (or are likely to pose) to members of staff, care providers or other persons working for or on behalf of the Council, or others who may have contact with them.</w:t>
      </w:r>
    </w:p>
    <w:p w14:paraId="3434CF77" w14:textId="721E4FD5" w:rsidR="00D33A8C" w:rsidRPr="00D33A8C" w:rsidRDefault="00D33A8C" w:rsidP="00BA636F">
      <w:pPr>
        <w:spacing w:line="276" w:lineRule="auto"/>
        <w:jc w:val="both"/>
      </w:pPr>
      <w:r w:rsidRPr="00BA636F">
        <w:rPr>
          <w:rFonts w:ascii="Arial" w:hAnsi="Arial" w:cs="Arial"/>
          <w:sz w:val="24"/>
          <w:szCs w:val="24"/>
        </w:rPr>
        <w:t>The decision to record a risk/hazard on an individual’s file should always be based on a specific incident and details of that incident must be accurately recorded and maintained. Any accompanying documentary evidence should be uploaded to the record at the same time.</w:t>
      </w:r>
    </w:p>
    <w:p w14:paraId="408D702A" w14:textId="2E01AA64" w:rsidR="00D33A8C" w:rsidRPr="00B34595" w:rsidRDefault="00D33A8C" w:rsidP="00B34595">
      <w:pPr>
        <w:spacing w:line="276" w:lineRule="auto"/>
        <w:jc w:val="both"/>
        <w:rPr>
          <w:rFonts w:ascii="Arial" w:hAnsi="Arial" w:cs="Arial"/>
          <w:sz w:val="24"/>
          <w:szCs w:val="24"/>
        </w:rPr>
      </w:pPr>
      <w:r w:rsidRPr="00BA636F">
        <w:rPr>
          <w:rFonts w:ascii="Arial" w:hAnsi="Arial" w:cs="Arial"/>
          <w:sz w:val="24"/>
          <w:szCs w:val="24"/>
        </w:rPr>
        <w:t xml:space="preserve">Within EHM and Liberi details are recorded within the Risks section, which then generates, </w:t>
      </w:r>
      <w:r w:rsidRPr="00D33A8C">
        <w:rPr>
          <w:rFonts w:ascii="Arial" w:hAnsi="Arial" w:cs="Arial"/>
          <w:sz w:val="24"/>
          <w:szCs w:val="24"/>
        </w:rPr>
        <w:t>a</w:t>
      </w:r>
      <w:r w:rsidR="00BA636F">
        <w:rPr>
          <w:rFonts w:ascii="Arial" w:hAnsi="Arial" w:cs="Arial"/>
          <w:sz w:val="24"/>
          <w:szCs w:val="24"/>
        </w:rPr>
        <w:t xml:space="preserve"> </w:t>
      </w:r>
      <w:r w:rsidRPr="00E61EF4">
        <w:rPr>
          <w:rFonts w:ascii="Arial" w:hAnsi="Arial" w:cs="Arial"/>
          <w:sz w:val="24"/>
          <w:szCs w:val="24"/>
        </w:rPr>
        <w:t>warning marker (lozenge) which is then displayed against the relevant record.</w:t>
      </w:r>
      <w:r>
        <w:rPr>
          <w:rFonts w:ascii="Arial" w:hAnsi="Arial" w:cs="Arial"/>
          <w:sz w:val="24"/>
          <w:szCs w:val="24"/>
        </w:rPr>
        <w:t xml:space="preserve"> </w:t>
      </w:r>
      <w:r w:rsidRPr="00E61EF4">
        <w:rPr>
          <w:rFonts w:ascii="Arial" w:hAnsi="Arial" w:cs="Arial"/>
          <w:sz w:val="24"/>
          <w:szCs w:val="24"/>
        </w:rPr>
        <w:t>As with any</w:t>
      </w:r>
      <w:r>
        <w:rPr>
          <w:rFonts w:ascii="Arial" w:hAnsi="Arial" w:cs="Arial"/>
          <w:sz w:val="24"/>
          <w:szCs w:val="24"/>
        </w:rPr>
        <w:t xml:space="preserve"> </w:t>
      </w:r>
      <w:r w:rsidRPr="00D33A8C">
        <w:rPr>
          <w:rFonts w:ascii="Arial" w:hAnsi="Arial" w:cs="Arial"/>
          <w:sz w:val="24"/>
          <w:szCs w:val="24"/>
        </w:rPr>
        <w:t>other form of personal information recording must comply with the Data Protection Act 2018</w:t>
      </w:r>
      <w:r>
        <w:rPr>
          <w:rFonts w:ascii="Arial" w:hAnsi="Arial" w:cs="Arial"/>
          <w:sz w:val="24"/>
          <w:szCs w:val="24"/>
        </w:rPr>
        <w:t xml:space="preserve">. </w:t>
      </w:r>
    </w:p>
    <w:p w14:paraId="2745FA34" w14:textId="77777777" w:rsidR="00D33A8C" w:rsidRPr="00D33A8C" w:rsidRDefault="00D33A8C" w:rsidP="00D33A8C">
      <w:pPr>
        <w:pStyle w:val="ListParagraph"/>
        <w:spacing w:before="120" w:after="120" w:line="276" w:lineRule="auto"/>
        <w:ind w:left="1080"/>
        <w:jc w:val="both"/>
        <w:rPr>
          <w:rFonts w:ascii="Arial" w:hAnsi="Arial" w:cs="Arial"/>
          <w:sz w:val="14"/>
          <w:szCs w:val="14"/>
        </w:rPr>
      </w:pPr>
    </w:p>
    <w:p w14:paraId="4AA167E7" w14:textId="62D7C9AF" w:rsidR="00D33A8C" w:rsidRPr="00E61EF4" w:rsidRDefault="00D33A8C" w:rsidP="00D33A8C">
      <w:pPr>
        <w:pStyle w:val="Heading1"/>
        <w:spacing w:before="120" w:after="120" w:line="276" w:lineRule="auto"/>
        <w:jc w:val="both"/>
      </w:pPr>
      <w:bookmarkStart w:id="3" w:name="_2._Compliance_with"/>
      <w:bookmarkEnd w:id="3"/>
      <w:r w:rsidRPr="00E61EF4">
        <w:t>2.</w:t>
      </w:r>
      <w:r>
        <w:t xml:space="preserve"> </w:t>
      </w:r>
      <w:r w:rsidRPr="00E61EF4">
        <w:t>Compliance with Data Protection and GDPR Legislation</w:t>
      </w:r>
    </w:p>
    <w:p w14:paraId="545F5A4C" w14:textId="6EE8D45D" w:rsidR="00D33A8C" w:rsidRPr="00BA636F" w:rsidRDefault="00D33A8C" w:rsidP="00BA636F">
      <w:pPr>
        <w:spacing w:before="120" w:after="0" w:line="276" w:lineRule="auto"/>
        <w:jc w:val="both"/>
        <w:rPr>
          <w:rFonts w:ascii="Arial" w:hAnsi="Arial" w:cs="Arial"/>
          <w:sz w:val="24"/>
          <w:szCs w:val="24"/>
        </w:rPr>
      </w:pPr>
      <w:r w:rsidRPr="00BA636F">
        <w:rPr>
          <w:rFonts w:ascii="Arial" w:hAnsi="Arial" w:cs="Arial"/>
          <w:sz w:val="24"/>
          <w:szCs w:val="24"/>
        </w:rPr>
        <w:t>Personal data can be recorded and processed where it is necessary to protect people from serious risk or where the processing is necessary for the Council to comply with a legal obligation.</w:t>
      </w:r>
    </w:p>
    <w:p w14:paraId="0DFA193A" w14:textId="567CE649" w:rsidR="00D33A8C" w:rsidRPr="00BA636F" w:rsidRDefault="00D33A8C" w:rsidP="00BA636F">
      <w:pPr>
        <w:spacing w:before="120" w:after="0" w:line="276" w:lineRule="auto"/>
        <w:jc w:val="both"/>
        <w:rPr>
          <w:rFonts w:ascii="Arial" w:hAnsi="Arial" w:cs="Arial"/>
          <w:sz w:val="24"/>
          <w:szCs w:val="24"/>
        </w:rPr>
      </w:pPr>
      <w:r w:rsidRPr="00BA636F">
        <w:rPr>
          <w:rFonts w:ascii="Arial" w:hAnsi="Arial" w:cs="Arial"/>
          <w:sz w:val="24"/>
          <w:szCs w:val="24"/>
        </w:rPr>
        <w:t>The processing of information in the form of Risks, Hazards and Warning Markers is considered necessary to comply with the Council’s duty of care obligations under health and safety legislation and the legal obligations imposed on the Council as data controller, specifically Article 6(1)(c) and section 8(c) of the Data Protection Act 2018: Health and Safety at Work Act 1974.</w:t>
      </w:r>
    </w:p>
    <w:p w14:paraId="207FD3CA" w14:textId="3F0B47AF" w:rsidR="00D33A8C" w:rsidRPr="00BA636F" w:rsidRDefault="00D33A8C" w:rsidP="00BA636F">
      <w:pPr>
        <w:spacing w:before="120" w:after="0" w:line="276" w:lineRule="auto"/>
        <w:jc w:val="both"/>
        <w:rPr>
          <w:rFonts w:ascii="Arial" w:hAnsi="Arial" w:cs="Arial"/>
          <w:sz w:val="24"/>
          <w:szCs w:val="24"/>
        </w:rPr>
      </w:pPr>
      <w:r w:rsidRPr="00BA636F">
        <w:rPr>
          <w:rFonts w:ascii="Arial" w:hAnsi="Arial" w:cs="Arial"/>
          <w:sz w:val="24"/>
          <w:szCs w:val="24"/>
        </w:rPr>
        <w:lastRenderedPageBreak/>
        <w:t>The reasons for placing a warning marker on a person’s record should be clearly recorded, be factual, evidenced, authorised and reviewed.  In those instances where the warning entry is discretionary, practitioners and managers should consider the nature, degree and significance of potential risk and use their professional judgement when deciding whether to record a warning marker. For example, a physical assault on a practitioner would warrant use of the marker, whereas an offensive comment may require other options to be considered in discussion with the line manager.</w:t>
      </w:r>
    </w:p>
    <w:p w14:paraId="01D07EFE" w14:textId="2E0F4AC2" w:rsidR="00D33A8C" w:rsidRPr="00BA636F" w:rsidRDefault="00D33A8C" w:rsidP="00BA636F">
      <w:pPr>
        <w:spacing w:before="120" w:after="0" w:line="276" w:lineRule="auto"/>
        <w:jc w:val="both"/>
        <w:rPr>
          <w:rFonts w:ascii="Arial" w:hAnsi="Arial" w:cs="Arial"/>
          <w:sz w:val="24"/>
          <w:szCs w:val="24"/>
        </w:rPr>
      </w:pPr>
      <w:r w:rsidRPr="00BA636F">
        <w:rPr>
          <w:rFonts w:ascii="Arial" w:hAnsi="Arial" w:cs="Arial"/>
          <w:sz w:val="24"/>
          <w:szCs w:val="24"/>
        </w:rPr>
        <w:t xml:space="preserve">Recording / Processing of personal information may be necessary without the consent of the data subject (person who the information is about).  </w:t>
      </w:r>
    </w:p>
    <w:p w14:paraId="4C05EA86" w14:textId="53CD409F" w:rsidR="00D33A8C" w:rsidRPr="00BA636F" w:rsidRDefault="00D33A8C" w:rsidP="00BA636F">
      <w:pPr>
        <w:spacing w:before="120" w:after="0" w:line="276" w:lineRule="auto"/>
        <w:jc w:val="both"/>
        <w:rPr>
          <w:rFonts w:ascii="Arial" w:hAnsi="Arial" w:cs="Arial"/>
          <w:sz w:val="24"/>
          <w:szCs w:val="24"/>
        </w:rPr>
      </w:pPr>
      <w:r w:rsidRPr="00BA636F">
        <w:rPr>
          <w:rFonts w:ascii="Arial" w:hAnsi="Arial" w:cs="Arial"/>
          <w:sz w:val="24"/>
          <w:szCs w:val="24"/>
        </w:rPr>
        <w:t>The Data Protection Act 2018 gives individuals the right to request access to the personal data held about them (Subject Access Request). Where there is a warning marker against an individual's record this should be disclosed to the individual. In exceptional circumstances however revealing the existence of, or reasons for, the warning marker may also lead to a substantial risk to staff or other individuals. In such cases advice should be sought from an Information Governance Specialist in the Information Resilience &amp; Transparency Team.</w:t>
      </w:r>
    </w:p>
    <w:p w14:paraId="4A7A41F7" w14:textId="1FED8022" w:rsidR="00D33A8C" w:rsidRPr="00BA636F" w:rsidRDefault="00D33A8C" w:rsidP="00BA636F">
      <w:pPr>
        <w:spacing w:before="120" w:after="0" w:line="276" w:lineRule="auto"/>
        <w:jc w:val="both"/>
        <w:rPr>
          <w:rFonts w:ascii="Arial" w:hAnsi="Arial" w:cs="Arial"/>
          <w:sz w:val="24"/>
          <w:szCs w:val="24"/>
        </w:rPr>
      </w:pPr>
      <w:r w:rsidRPr="00BA636F">
        <w:rPr>
          <w:rFonts w:ascii="Arial" w:hAnsi="Arial" w:cs="Arial"/>
          <w:sz w:val="24"/>
          <w:szCs w:val="24"/>
        </w:rPr>
        <w:t xml:space="preserve">Indicators must only be held for as long as is necessary and for the specified purpose. Warning markers should be subject to regular review and ended when no longer applicable. </w:t>
      </w:r>
    </w:p>
    <w:p w14:paraId="150F3B32" w14:textId="77777777" w:rsidR="00D33A8C" w:rsidRPr="00D33A8C" w:rsidRDefault="00D33A8C" w:rsidP="00D33A8C">
      <w:pPr>
        <w:spacing w:before="120" w:after="0" w:line="276" w:lineRule="auto"/>
        <w:jc w:val="both"/>
        <w:rPr>
          <w:rFonts w:ascii="Arial" w:hAnsi="Arial" w:cs="Arial"/>
          <w:sz w:val="12"/>
          <w:szCs w:val="12"/>
        </w:rPr>
      </w:pPr>
    </w:p>
    <w:p w14:paraId="59C9EED6" w14:textId="77777777" w:rsidR="00D33A8C" w:rsidRPr="00E61EF4" w:rsidRDefault="00D33A8C" w:rsidP="00D33A8C">
      <w:pPr>
        <w:pStyle w:val="Heading1"/>
        <w:spacing w:before="120" w:line="276" w:lineRule="auto"/>
        <w:jc w:val="both"/>
      </w:pPr>
      <w:bookmarkStart w:id="4" w:name="_3._When_should"/>
      <w:bookmarkEnd w:id="4"/>
      <w:r w:rsidRPr="00E61EF4">
        <w:t>3</w:t>
      </w:r>
      <w:r>
        <w:t xml:space="preserve">. </w:t>
      </w:r>
      <w:r w:rsidRPr="00E61EF4">
        <w:t>When should a warning marker be recorded</w:t>
      </w:r>
    </w:p>
    <w:p w14:paraId="2FF49CB5" w14:textId="52781CB9" w:rsidR="00D33A8C" w:rsidRPr="00BA636F" w:rsidRDefault="00D33A8C" w:rsidP="00BA636F">
      <w:pPr>
        <w:spacing w:before="120" w:after="0" w:line="276" w:lineRule="auto"/>
        <w:jc w:val="both"/>
        <w:rPr>
          <w:rFonts w:ascii="Arial" w:hAnsi="Arial" w:cs="Arial"/>
          <w:sz w:val="24"/>
          <w:szCs w:val="24"/>
        </w:rPr>
      </w:pPr>
      <w:r w:rsidRPr="00BA636F">
        <w:rPr>
          <w:rFonts w:ascii="Arial" w:hAnsi="Arial" w:cs="Arial"/>
          <w:sz w:val="24"/>
          <w:szCs w:val="24"/>
        </w:rPr>
        <w:t>The following information is provided to assist in the process of deciding what constitutes an incident/risk where the recording of a Hazard would be valid. It is important to acknowledge that all staff will perceive and respond to threats and hazards differently so it is for this reason that a Service Manager (or equivalent) will make the decision, based on the facts that are presented to them. Examples include:</w:t>
      </w:r>
    </w:p>
    <w:p w14:paraId="1E16E2BC" w14:textId="77777777" w:rsidR="00D33A8C" w:rsidRDefault="00D33A8C" w:rsidP="00D33A8C">
      <w:pPr>
        <w:pStyle w:val="ListParagraph"/>
        <w:numPr>
          <w:ilvl w:val="0"/>
          <w:numId w:val="6"/>
        </w:numPr>
        <w:spacing w:after="0" w:line="276" w:lineRule="auto"/>
        <w:jc w:val="both"/>
        <w:rPr>
          <w:rFonts w:ascii="Arial" w:hAnsi="Arial" w:cs="Arial"/>
          <w:sz w:val="24"/>
          <w:szCs w:val="24"/>
        </w:rPr>
      </w:pPr>
      <w:r w:rsidRPr="00D33A8C">
        <w:rPr>
          <w:rFonts w:ascii="Arial" w:hAnsi="Arial" w:cs="Arial"/>
          <w:sz w:val="24"/>
          <w:szCs w:val="24"/>
        </w:rPr>
        <w:t xml:space="preserve">physical assault </w:t>
      </w:r>
    </w:p>
    <w:p w14:paraId="210689AE" w14:textId="77777777" w:rsidR="00D33A8C" w:rsidRDefault="00D33A8C" w:rsidP="00D33A8C">
      <w:pPr>
        <w:pStyle w:val="ListParagraph"/>
        <w:numPr>
          <w:ilvl w:val="0"/>
          <w:numId w:val="6"/>
        </w:numPr>
        <w:spacing w:after="0" w:line="276" w:lineRule="auto"/>
        <w:jc w:val="both"/>
        <w:rPr>
          <w:rFonts w:ascii="Arial" w:hAnsi="Arial" w:cs="Arial"/>
          <w:sz w:val="24"/>
          <w:szCs w:val="24"/>
        </w:rPr>
      </w:pPr>
      <w:r w:rsidRPr="00D33A8C">
        <w:rPr>
          <w:rFonts w:ascii="Arial" w:hAnsi="Arial" w:cs="Arial"/>
          <w:sz w:val="24"/>
          <w:szCs w:val="24"/>
        </w:rPr>
        <w:t>threatening or aggressive behaviour</w:t>
      </w:r>
    </w:p>
    <w:p w14:paraId="406E899D" w14:textId="77777777" w:rsidR="00D33A8C" w:rsidRDefault="00D33A8C" w:rsidP="00D33A8C">
      <w:pPr>
        <w:pStyle w:val="ListParagraph"/>
        <w:numPr>
          <w:ilvl w:val="0"/>
          <w:numId w:val="6"/>
        </w:numPr>
        <w:spacing w:after="0" w:line="276" w:lineRule="auto"/>
        <w:jc w:val="both"/>
        <w:rPr>
          <w:rFonts w:ascii="Arial" w:hAnsi="Arial" w:cs="Arial"/>
          <w:sz w:val="24"/>
          <w:szCs w:val="24"/>
        </w:rPr>
      </w:pPr>
      <w:r w:rsidRPr="00D33A8C">
        <w:rPr>
          <w:rFonts w:ascii="Arial" w:hAnsi="Arial" w:cs="Arial"/>
          <w:sz w:val="24"/>
          <w:szCs w:val="24"/>
        </w:rPr>
        <w:t>unwanted physical contact including sexual overtures</w:t>
      </w:r>
    </w:p>
    <w:p w14:paraId="47003F2F" w14:textId="77777777" w:rsidR="00D33A8C" w:rsidRDefault="00D33A8C" w:rsidP="00D33A8C">
      <w:pPr>
        <w:pStyle w:val="ListParagraph"/>
        <w:numPr>
          <w:ilvl w:val="0"/>
          <w:numId w:val="6"/>
        </w:numPr>
        <w:spacing w:after="0" w:line="276" w:lineRule="auto"/>
        <w:jc w:val="both"/>
        <w:rPr>
          <w:rFonts w:ascii="Arial" w:hAnsi="Arial" w:cs="Arial"/>
          <w:sz w:val="24"/>
          <w:szCs w:val="24"/>
        </w:rPr>
      </w:pPr>
      <w:r w:rsidRPr="00D33A8C">
        <w:rPr>
          <w:rFonts w:ascii="Arial" w:hAnsi="Arial" w:cs="Arial"/>
          <w:sz w:val="24"/>
          <w:szCs w:val="24"/>
        </w:rPr>
        <w:t>fear of reprisals on self or family</w:t>
      </w:r>
    </w:p>
    <w:p w14:paraId="3A58B402" w14:textId="77777777" w:rsidR="00D33A8C" w:rsidRDefault="00D33A8C" w:rsidP="00D33A8C">
      <w:pPr>
        <w:pStyle w:val="ListParagraph"/>
        <w:numPr>
          <w:ilvl w:val="0"/>
          <w:numId w:val="6"/>
        </w:numPr>
        <w:spacing w:after="0" w:line="276" w:lineRule="auto"/>
        <w:jc w:val="both"/>
        <w:rPr>
          <w:rFonts w:ascii="Arial" w:hAnsi="Arial" w:cs="Arial"/>
          <w:sz w:val="24"/>
          <w:szCs w:val="24"/>
        </w:rPr>
      </w:pPr>
      <w:r w:rsidRPr="00D33A8C">
        <w:rPr>
          <w:rFonts w:ascii="Arial" w:hAnsi="Arial" w:cs="Arial"/>
          <w:sz w:val="24"/>
          <w:szCs w:val="24"/>
        </w:rPr>
        <w:t>feeling intimidated</w:t>
      </w:r>
    </w:p>
    <w:p w14:paraId="4E6AFA32" w14:textId="54F672D7" w:rsidR="00194A74" w:rsidRDefault="00D33A8C" w:rsidP="00194A74">
      <w:pPr>
        <w:pStyle w:val="ListParagraph"/>
        <w:numPr>
          <w:ilvl w:val="0"/>
          <w:numId w:val="6"/>
        </w:numPr>
        <w:spacing w:after="0" w:line="276" w:lineRule="auto"/>
        <w:jc w:val="both"/>
        <w:rPr>
          <w:rFonts w:ascii="Arial" w:hAnsi="Arial" w:cs="Arial"/>
          <w:sz w:val="24"/>
          <w:szCs w:val="24"/>
        </w:rPr>
      </w:pPr>
      <w:r w:rsidRPr="00D33A8C">
        <w:rPr>
          <w:rFonts w:ascii="Arial" w:hAnsi="Arial" w:cs="Arial"/>
          <w:sz w:val="24"/>
          <w:szCs w:val="24"/>
        </w:rPr>
        <w:t>the presence of syringes without medical explanation and evidence</w:t>
      </w:r>
    </w:p>
    <w:p w14:paraId="79189BC6" w14:textId="77777777" w:rsidR="00194A74" w:rsidRDefault="00194A74" w:rsidP="00194A74">
      <w:pPr>
        <w:spacing w:after="0" w:line="276" w:lineRule="auto"/>
        <w:jc w:val="both"/>
        <w:rPr>
          <w:rFonts w:ascii="Arial" w:hAnsi="Arial" w:cs="Arial"/>
          <w:sz w:val="24"/>
          <w:szCs w:val="24"/>
        </w:rPr>
      </w:pPr>
    </w:p>
    <w:p w14:paraId="5C1C6614" w14:textId="6FD6D26F" w:rsidR="00194A74" w:rsidRDefault="00194A74" w:rsidP="00194A74">
      <w:pPr>
        <w:spacing w:after="0" w:line="276" w:lineRule="auto"/>
        <w:jc w:val="both"/>
        <w:rPr>
          <w:rFonts w:ascii="Arial" w:hAnsi="Arial" w:cs="Arial"/>
          <w:sz w:val="14"/>
          <w:szCs w:val="14"/>
        </w:rPr>
      </w:pPr>
      <w:r w:rsidRPr="00BA636F">
        <w:rPr>
          <w:rFonts w:ascii="Arial" w:hAnsi="Arial" w:cs="Arial"/>
          <w:sz w:val="24"/>
          <w:szCs w:val="24"/>
        </w:rPr>
        <w:t>In addition</w:t>
      </w:r>
      <w:r>
        <w:rPr>
          <w:rFonts w:ascii="Arial" w:hAnsi="Arial" w:cs="Arial"/>
          <w:sz w:val="24"/>
          <w:szCs w:val="24"/>
        </w:rPr>
        <w:t xml:space="preserve"> to the current hazard </w:t>
      </w:r>
      <w:r w:rsidR="00250706">
        <w:rPr>
          <w:rFonts w:ascii="Arial" w:hAnsi="Arial" w:cs="Arial"/>
          <w:sz w:val="24"/>
          <w:szCs w:val="24"/>
        </w:rPr>
        <w:t>categories, a new hazard type of “concerns that a person may be a risk to children” has been added due to a change in the Prison Service</w:t>
      </w:r>
      <w:r w:rsidR="001D31FB">
        <w:rPr>
          <w:rFonts w:ascii="Arial" w:hAnsi="Arial" w:cs="Arial"/>
          <w:sz w:val="24"/>
          <w:szCs w:val="24"/>
        </w:rPr>
        <w:t>’</w:t>
      </w:r>
      <w:r w:rsidR="00250706">
        <w:rPr>
          <w:rFonts w:ascii="Arial" w:hAnsi="Arial" w:cs="Arial"/>
          <w:sz w:val="24"/>
          <w:szCs w:val="24"/>
        </w:rPr>
        <w:t xml:space="preserve"> process around persons who pose a risk to children. The Prison Service </w:t>
      </w:r>
      <w:r w:rsidR="001D31FB">
        <w:rPr>
          <w:rFonts w:ascii="Arial" w:hAnsi="Arial" w:cs="Arial"/>
          <w:sz w:val="24"/>
          <w:szCs w:val="24"/>
        </w:rPr>
        <w:t>will</w:t>
      </w:r>
      <w:r w:rsidR="00250706">
        <w:rPr>
          <w:rFonts w:ascii="Arial" w:hAnsi="Arial" w:cs="Arial"/>
          <w:sz w:val="24"/>
          <w:szCs w:val="24"/>
        </w:rPr>
        <w:t xml:space="preserve"> provide more information on </w:t>
      </w:r>
      <w:r w:rsidR="001D31FB">
        <w:rPr>
          <w:rFonts w:ascii="Arial" w:hAnsi="Arial" w:cs="Arial"/>
          <w:sz w:val="24"/>
          <w:szCs w:val="24"/>
        </w:rPr>
        <w:t xml:space="preserve">an </w:t>
      </w:r>
      <w:r w:rsidR="00250706">
        <w:rPr>
          <w:rFonts w:ascii="Arial" w:hAnsi="Arial" w:cs="Arial"/>
          <w:sz w:val="24"/>
          <w:szCs w:val="24"/>
        </w:rPr>
        <w:t xml:space="preserve">individual </w:t>
      </w:r>
      <w:r w:rsidR="001D31FB">
        <w:rPr>
          <w:rFonts w:ascii="Arial" w:hAnsi="Arial" w:cs="Arial"/>
          <w:sz w:val="24"/>
          <w:szCs w:val="24"/>
        </w:rPr>
        <w:t>to enable</w:t>
      </w:r>
      <w:r w:rsidR="00250706">
        <w:rPr>
          <w:rFonts w:ascii="Arial" w:hAnsi="Arial" w:cs="Arial"/>
          <w:sz w:val="24"/>
          <w:szCs w:val="24"/>
        </w:rPr>
        <w:t xml:space="preserve"> ICS to incorporate information into their assessment and assess if the individual is a person who </w:t>
      </w:r>
      <w:r w:rsidR="001D31FB">
        <w:rPr>
          <w:rFonts w:ascii="Arial" w:hAnsi="Arial" w:cs="Arial"/>
          <w:sz w:val="24"/>
          <w:szCs w:val="24"/>
        </w:rPr>
        <w:t>‘</w:t>
      </w:r>
      <w:r w:rsidR="00250706">
        <w:rPr>
          <w:rFonts w:ascii="Arial" w:hAnsi="Arial" w:cs="Arial"/>
          <w:sz w:val="24"/>
          <w:szCs w:val="24"/>
        </w:rPr>
        <w:t>poses a risk</w:t>
      </w:r>
      <w:r w:rsidR="001D31FB">
        <w:rPr>
          <w:rFonts w:ascii="Arial" w:hAnsi="Arial" w:cs="Arial"/>
          <w:sz w:val="24"/>
          <w:szCs w:val="24"/>
        </w:rPr>
        <w:t>’</w:t>
      </w:r>
      <w:r w:rsidR="00250706">
        <w:rPr>
          <w:rFonts w:ascii="Arial" w:hAnsi="Arial" w:cs="Arial"/>
          <w:sz w:val="24"/>
          <w:szCs w:val="24"/>
        </w:rPr>
        <w:t xml:space="preserve">. More information can be found in the table </w:t>
      </w:r>
      <w:r w:rsidR="001D31FB">
        <w:rPr>
          <w:rFonts w:ascii="Arial" w:hAnsi="Arial" w:cs="Arial"/>
          <w:sz w:val="24"/>
          <w:szCs w:val="24"/>
        </w:rPr>
        <w:t>on page 8</w:t>
      </w:r>
      <w:r w:rsidR="00250706">
        <w:rPr>
          <w:rFonts w:ascii="Arial" w:hAnsi="Arial" w:cs="Arial"/>
          <w:sz w:val="24"/>
          <w:szCs w:val="24"/>
        </w:rPr>
        <w:t xml:space="preserve">. </w:t>
      </w:r>
    </w:p>
    <w:p w14:paraId="6B83FCF8" w14:textId="77777777" w:rsidR="00D33A8C" w:rsidRPr="001D31FB" w:rsidRDefault="00D33A8C" w:rsidP="001D31FB">
      <w:pPr>
        <w:spacing w:after="0" w:line="276" w:lineRule="auto"/>
        <w:jc w:val="both"/>
        <w:rPr>
          <w:rFonts w:ascii="Arial" w:hAnsi="Arial" w:cs="Arial"/>
          <w:sz w:val="24"/>
          <w:szCs w:val="24"/>
        </w:rPr>
      </w:pPr>
    </w:p>
    <w:p w14:paraId="035DBB87" w14:textId="7EDB62DA" w:rsidR="00D33A8C" w:rsidRPr="00BA636F" w:rsidRDefault="00D33A8C" w:rsidP="00BA636F">
      <w:pPr>
        <w:spacing w:after="0" w:line="276" w:lineRule="auto"/>
        <w:jc w:val="both"/>
        <w:rPr>
          <w:rFonts w:ascii="Arial" w:hAnsi="Arial" w:cs="Arial"/>
          <w:sz w:val="24"/>
          <w:szCs w:val="24"/>
        </w:rPr>
      </w:pPr>
      <w:r w:rsidRPr="00BA636F">
        <w:rPr>
          <w:rFonts w:ascii="Arial" w:hAnsi="Arial" w:cs="Arial"/>
          <w:sz w:val="24"/>
          <w:szCs w:val="24"/>
        </w:rPr>
        <w:lastRenderedPageBreak/>
        <w:t>In addition</w:t>
      </w:r>
      <w:r w:rsidR="00BA636F">
        <w:rPr>
          <w:rFonts w:ascii="Arial" w:hAnsi="Arial" w:cs="Arial"/>
          <w:sz w:val="24"/>
          <w:szCs w:val="24"/>
        </w:rPr>
        <w:t>,</w:t>
      </w:r>
      <w:r w:rsidRPr="00BA636F">
        <w:rPr>
          <w:rFonts w:ascii="Arial" w:hAnsi="Arial" w:cs="Arial"/>
          <w:sz w:val="24"/>
          <w:szCs w:val="24"/>
        </w:rPr>
        <w:t xml:space="preserve"> warning markers will be added for the following: </w:t>
      </w:r>
    </w:p>
    <w:p w14:paraId="6E827D31" w14:textId="77777777" w:rsidR="00BA636F" w:rsidRDefault="00D33A8C" w:rsidP="00BA636F">
      <w:pPr>
        <w:pStyle w:val="ListParagraph"/>
        <w:numPr>
          <w:ilvl w:val="0"/>
          <w:numId w:val="8"/>
        </w:numPr>
        <w:spacing w:after="0" w:line="276" w:lineRule="auto"/>
        <w:jc w:val="both"/>
        <w:rPr>
          <w:rFonts w:ascii="Arial" w:hAnsi="Arial" w:cs="Arial"/>
          <w:sz w:val="24"/>
          <w:szCs w:val="24"/>
        </w:rPr>
      </w:pPr>
      <w:r w:rsidRPr="00BA636F">
        <w:rPr>
          <w:rFonts w:ascii="Arial" w:hAnsi="Arial" w:cs="Arial"/>
          <w:sz w:val="24"/>
          <w:szCs w:val="24"/>
        </w:rPr>
        <w:t xml:space="preserve">An individual is being managed via Multi Agency Public Protection </w:t>
      </w:r>
      <w:r w:rsidR="00BA636F">
        <w:rPr>
          <w:rFonts w:ascii="Arial" w:hAnsi="Arial" w:cs="Arial"/>
          <w:sz w:val="24"/>
          <w:szCs w:val="24"/>
        </w:rPr>
        <w:t>A</w:t>
      </w:r>
      <w:r w:rsidRPr="00BA636F">
        <w:rPr>
          <w:rFonts w:ascii="Arial" w:hAnsi="Arial" w:cs="Arial"/>
          <w:sz w:val="24"/>
          <w:szCs w:val="24"/>
        </w:rPr>
        <w:t>rrangements (MAPPA) because they are a medium or high risk to the public</w:t>
      </w:r>
    </w:p>
    <w:p w14:paraId="07CF78FD" w14:textId="56329B73" w:rsidR="00BA636F" w:rsidRPr="00BA636F" w:rsidRDefault="00BA636F" w:rsidP="00BA636F">
      <w:pPr>
        <w:pStyle w:val="ListParagraph"/>
        <w:numPr>
          <w:ilvl w:val="0"/>
          <w:numId w:val="8"/>
        </w:numPr>
        <w:spacing w:after="0" w:line="276" w:lineRule="auto"/>
        <w:jc w:val="both"/>
        <w:rPr>
          <w:rFonts w:ascii="Arial" w:hAnsi="Arial" w:cs="Arial"/>
          <w:sz w:val="24"/>
          <w:szCs w:val="24"/>
        </w:rPr>
      </w:pPr>
      <w:r w:rsidRPr="00BA636F">
        <w:rPr>
          <w:rFonts w:ascii="Arial" w:hAnsi="Arial" w:cs="Arial"/>
          <w:sz w:val="24"/>
          <w:szCs w:val="24"/>
        </w:rPr>
        <w:t>An individual has been flagged at a Multi-Agency Risk Assessment Conference MARAC as a perpetrator of domestic abuse (medium or high risk)</w:t>
      </w:r>
    </w:p>
    <w:p w14:paraId="7FC545D2" w14:textId="5DAF9A61" w:rsidR="00D33A8C" w:rsidRDefault="00D33A8C" w:rsidP="00D33A8C">
      <w:pPr>
        <w:pStyle w:val="ListParagraph"/>
        <w:numPr>
          <w:ilvl w:val="0"/>
          <w:numId w:val="8"/>
        </w:numPr>
        <w:spacing w:after="0" w:line="276" w:lineRule="auto"/>
        <w:jc w:val="both"/>
        <w:rPr>
          <w:rFonts w:ascii="Arial" w:hAnsi="Arial" w:cs="Arial"/>
          <w:sz w:val="24"/>
          <w:szCs w:val="24"/>
        </w:rPr>
      </w:pPr>
      <w:r w:rsidRPr="00D33A8C">
        <w:rPr>
          <w:rFonts w:ascii="Arial" w:hAnsi="Arial" w:cs="Arial"/>
          <w:sz w:val="24"/>
          <w:szCs w:val="24"/>
        </w:rPr>
        <w:t xml:space="preserve">Individuals who pose a Risk to Children (see 4.2.1) </w:t>
      </w:r>
    </w:p>
    <w:p w14:paraId="6DD1F7BB" w14:textId="75F3B490" w:rsidR="00194A74" w:rsidRPr="00D33A8C" w:rsidRDefault="00194A74" w:rsidP="00D33A8C">
      <w:pPr>
        <w:spacing w:after="0" w:line="276" w:lineRule="auto"/>
        <w:jc w:val="both"/>
        <w:rPr>
          <w:rFonts w:ascii="Arial" w:hAnsi="Arial" w:cs="Arial"/>
          <w:sz w:val="14"/>
          <w:szCs w:val="14"/>
        </w:rPr>
      </w:pPr>
    </w:p>
    <w:p w14:paraId="0ED75194" w14:textId="77777777" w:rsidR="00D33A8C" w:rsidRPr="00E61EF4" w:rsidRDefault="00D33A8C" w:rsidP="00D33A8C">
      <w:pPr>
        <w:pStyle w:val="Heading1"/>
        <w:spacing w:before="120" w:line="276" w:lineRule="auto"/>
        <w:jc w:val="both"/>
      </w:pPr>
      <w:bookmarkStart w:id="5" w:name="_4._Process_for"/>
      <w:bookmarkEnd w:id="5"/>
      <w:r w:rsidRPr="00E61EF4">
        <w:t>4.</w:t>
      </w:r>
      <w:r>
        <w:t xml:space="preserve"> </w:t>
      </w:r>
      <w:r w:rsidRPr="00E61EF4">
        <w:t xml:space="preserve">Process for adding a Hazard to EMH and LIBERI </w:t>
      </w:r>
    </w:p>
    <w:p w14:paraId="3F9D38A9" w14:textId="6C9E3EB9" w:rsidR="00D33A8C" w:rsidRDefault="00D33A8C" w:rsidP="00BA636F">
      <w:pPr>
        <w:spacing w:before="120" w:after="0" w:line="276" w:lineRule="auto"/>
        <w:jc w:val="both"/>
        <w:rPr>
          <w:rFonts w:ascii="Arial" w:hAnsi="Arial" w:cs="Arial"/>
          <w:b/>
          <w:bCs/>
          <w:sz w:val="24"/>
          <w:szCs w:val="24"/>
        </w:rPr>
      </w:pPr>
      <w:r w:rsidRPr="00BA636F">
        <w:rPr>
          <w:rFonts w:ascii="Arial" w:hAnsi="Arial" w:cs="Arial"/>
          <w:sz w:val="24"/>
          <w:szCs w:val="24"/>
        </w:rPr>
        <w:t>Following a serious incident, or when it is decided that a hazard should be recorded, the</w:t>
      </w:r>
      <w:r w:rsidR="00BA636F">
        <w:rPr>
          <w:rFonts w:ascii="Arial" w:hAnsi="Arial" w:cs="Arial"/>
          <w:sz w:val="24"/>
          <w:szCs w:val="24"/>
        </w:rPr>
        <w:t xml:space="preserve"> </w:t>
      </w:r>
      <w:r w:rsidRPr="00E61EF4">
        <w:rPr>
          <w:rFonts w:ascii="Arial" w:hAnsi="Arial" w:cs="Arial"/>
          <w:sz w:val="24"/>
          <w:szCs w:val="24"/>
        </w:rPr>
        <w:t xml:space="preserve">process outlined within the System User Guide for recording Risks and Hazards on EHM and Liberi should be followed. </w:t>
      </w:r>
      <w:r w:rsidRPr="00E61EF4">
        <w:rPr>
          <w:rFonts w:ascii="Arial" w:hAnsi="Arial" w:cs="Arial"/>
          <w:b/>
          <w:bCs/>
          <w:sz w:val="24"/>
          <w:szCs w:val="24"/>
        </w:rPr>
        <w:t xml:space="preserve">A discussion regarding the hazard should take place with the Service Manager (or equivalent) </w:t>
      </w:r>
      <w:r w:rsidRPr="00E61EF4">
        <w:rPr>
          <w:rFonts w:ascii="Arial" w:hAnsi="Arial" w:cs="Arial"/>
          <w:b/>
          <w:bCs/>
          <w:i/>
          <w:iCs/>
          <w:sz w:val="24"/>
          <w:szCs w:val="24"/>
          <w:u w:val="single"/>
        </w:rPr>
        <w:t>before</w:t>
      </w:r>
      <w:r w:rsidRPr="00E61EF4">
        <w:rPr>
          <w:rFonts w:ascii="Arial" w:hAnsi="Arial" w:cs="Arial"/>
          <w:b/>
          <w:bCs/>
          <w:sz w:val="24"/>
          <w:szCs w:val="24"/>
        </w:rPr>
        <w:t xml:space="preserve"> the hazard is added. </w:t>
      </w:r>
    </w:p>
    <w:p w14:paraId="6302E971" w14:textId="77777777" w:rsidR="00D33A8C" w:rsidRDefault="00D33A8C" w:rsidP="00D33A8C">
      <w:pPr>
        <w:spacing w:after="0" w:line="276" w:lineRule="auto"/>
        <w:ind w:left="1440"/>
        <w:jc w:val="both"/>
        <w:rPr>
          <w:rFonts w:ascii="Arial" w:hAnsi="Arial" w:cs="Arial"/>
          <w:b/>
          <w:bCs/>
          <w:color w:val="92D050"/>
          <w:sz w:val="24"/>
          <w:szCs w:val="24"/>
        </w:rPr>
      </w:pPr>
    </w:p>
    <w:p w14:paraId="47E7DCEE" w14:textId="0DD9C93D" w:rsidR="00D33A8C" w:rsidRPr="00BA636F" w:rsidRDefault="00D33A8C" w:rsidP="00BA636F">
      <w:pPr>
        <w:spacing w:after="0" w:line="276" w:lineRule="auto"/>
        <w:jc w:val="both"/>
        <w:rPr>
          <w:rFonts w:ascii="Arial" w:hAnsi="Arial" w:cs="Arial"/>
          <w:b/>
          <w:bCs/>
          <w:color w:val="92D050"/>
          <w:sz w:val="24"/>
          <w:szCs w:val="24"/>
        </w:rPr>
      </w:pPr>
      <w:r w:rsidRPr="00BA636F">
        <w:rPr>
          <w:rFonts w:ascii="Arial" w:hAnsi="Arial" w:cs="Arial"/>
          <w:sz w:val="24"/>
          <w:szCs w:val="24"/>
        </w:rPr>
        <w:t>The following warning markers have restricted access in terms of who can add or view the detailed information to ensure they are added in accordance with set procedures, but the warning markers (lozenge) are visible to all users.</w:t>
      </w:r>
    </w:p>
    <w:p w14:paraId="25136DAE" w14:textId="77777777" w:rsidR="00D33A8C" w:rsidRPr="00E61EF4" w:rsidRDefault="00D33A8C" w:rsidP="00D33A8C">
      <w:pPr>
        <w:spacing w:after="0" w:line="276" w:lineRule="auto"/>
        <w:ind w:firstLine="720"/>
        <w:jc w:val="both"/>
        <w:rPr>
          <w:rFonts w:ascii="Arial" w:hAnsi="Arial" w:cs="Arial"/>
          <w:sz w:val="24"/>
          <w:szCs w:val="24"/>
        </w:rPr>
      </w:pPr>
    </w:p>
    <w:p w14:paraId="7563702B" w14:textId="77777777" w:rsidR="00D33A8C" w:rsidRPr="00BA636F" w:rsidRDefault="00D33A8C" w:rsidP="00BA636F">
      <w:pPr>
        <w:spacing w:after="0" w:line="276" w:lineRule="auto"/>
        <w:jc w:val="both"/>
        <w:rPr>
          <w:rFonts w:ascii="Arial" w:hAnsi="Arial" w:cs="Arial"/>
          <w:sz w:val="24"/>
          <w:szCs w:val="24"/>
        </w:rPr>
      </w:pPr>
      <w:r w:rsidRPr="00BA636F">
        <w:rPr>
          <w:rFonts w:ascii="Arial" w:hAnsi="Arial" w:cs="Arial"/>
          <w:b/>
          <w:bCs/>
          <w:sz w:val="24"/>
          <w:szCs w:val="24"/>
        </w:rPr>
        <w:t>Persons who Pose a Risk to Children</w:t>
      </w:r>
      <w:r w:rsidRPr="00BA636F">
        <w:rPr>
          <w:rFonts w:ascii="Arial" w:hAnsi="Arial" w:cs="Arial"/>
          <w:sz w:val="24"/>
          <w:szCs w:val="24"/>
        </w:rPr>
        <w:t>, Indicators of people who may pose a risk to children include:</w:t>
      </w:r>
    </w:p>
    <w:p w14:paraId="02D31829" w14:textId="77777777" w:rsidR="00D33A8C" w:rsidRPr="002C77E8" w:rsidRDefault="00D33A8C" w:rsidP="002C77E8">
      <w:pPr>
        <w:pStyle w:val="ListParagraph"/>
        <w:numPr>
          <w:ilvl w:val="0"/>
          <w:numId w:val="14"/>
        </w:numPr>
        <w:spacing w:after="0" w:line="276" w:lineRule="auto"/>
        <w:jc w:val="both"/>
        <w:rPr>
          <w:rFonts w:ascii="Arial" w:hAnsi="Arial" w:cs="Arial"/>
          <w:sz w:val="24"/>
          <w:szCs w:val="24"/>
        </w:rPr>
      </w:pPr>
      <w:r w:rsidRPr="002C77E8">
        <w:rPr>
          <w:rFonts w:ascii="Arial" w:hAnsi="Arial" w:cs="Arial"/>
          <w:sz w:val="24"/>
          <w:szCs w:val="24"/>
        </w:rPr>
        <w:t>Those found guilty of an offence that indicates future risk as opposed to past convictions.</w:t>
      </w:r>
    </w:p>
    <w:p w14:paraId="77529E27" w14:textId="77777777" w:rsidR="00D33A8C" w:rsidRPr="002C77E8" w:rsidRDefault="00D33A8C" w:rsidP="002C77E8">
      <w:pPr>
        <w:pStyle w:val="ListParagraph"/>
        <w:numPr>
          <w:ilvl w:val="0"/>
          <w:numId w:val="14"/>
        </w:numPr>
        <w:spacing w:after="0" w:line="276" w:lineRule="auto"/>
        <w:jc w:val="both"/>
        <w:rPr>
          <w:rFonts w:ascii="Arial" w:hAnsi="Arial" w:cs="Arial"/>
          <w:sz w:val="24"/>
          <w:szCs w:val="24"/>
        </w:rPr>
      </w:pPr>
      <w:r w:rsidRPr="002C77E8">
        <w:rPr>
          <w:rFonts w:ascii="Arial" w:hAnsi="Arial" w:cs="Arial"/>
          <w:sz w:val="24"/>
          <w:szCs w:val="24"/>
        </w:rPr>
        <w:t>Individuals known to have been cautioned / warned / reprimanded in relation to an offence against children including child sexual exploitation convictions.</w:t>
      </w:r>
    </w:p>
    <w:p w14:paraId="378A4664" w14:textId="77777777" w:rsidR="00D33A8C" w:rsidRPr="002C77E8" w:rsidRDefault="00D33A8C" w:rsidP="002C77E8">
      <w:pPr>
        <w:pStyle w:val="ListParagraph"/>
        <w:numPr>
          <w:ilvl w:val="0"/>
          <w:numId w:val="14"/>
        </w:numPr>
        <w:spacing w:after="0" w:line="276" w:lineRule="auto"/>
        <w:jc w:val="both"/>
        <w:rPr>
          <w:rFonts w:ascii="Arial" w:hAnsi="Arial" w:cs="Arial"/>
          <w:sz w:val="24"/>
          <w:szCs w:val="24"/>
        </w:rPr>
      </w:pPr>
      <w:r w:rsidRPr="002C77E8">
        <w:rPr>
          <w:rFonts w:ascii="Arial" w:hAnsi="Arial" w:cs="Arial"/>
          <w:sz w:val="24"/>
          <w:szCs w:val="24"/>
        </w:rPr>
        <w:t>Individuals against whom there is a previous finding in civil proceedings, for example Sex Offender Order or care proceedings.</w:t>
      </w:r>
    </w:p>
    <w:p w14:paraId="4EBB3D6C" w14:textId="77777777" w:rsidR="00D33A8C" w:rsidRPr="002C77E8" w:rsidRDefault="00D33A8C" w:rsidP="002C77E8">
      <w:pPr>
        <w:pStyle w:val="ListParagraph"/>
        <w:numPr>
          <w:ilvl w:val="0"/>
          <w:numId w:val="14"/>
        </w:numPr>
        <w:spacing w:after="0" w:line="276" w:lineRule="auto"/>
        <w:jc w:val="both"/>
        <w:rPr>
          <w:rFonts w:ascii="Arial" w:hAnsi="Arial" w:cs="Arial"/>
          <w:sz w:val="24"/>
          <w:szCs w:val="24"/>
        </w:rPr>
      </w:pPr>
      <w:r w:rsidRPr="002C77E8">
        <w:rPr>
          <w:rFonts w:ascii="Arial" w:hAnsi="Arial" w:cs="Arial"/>
          <w:sz w:val="24"/>
          <w:szCs w:val="24"/>
        </w:rPr>
        <w:t>An individual who has admitted past abuse of a child.</w:t>
      </w:r>
    </w:p>
    <w:p w14:paraId="003042F0" w14:textId="77777777" w:rsidR="00D33A8C" w:rsidRPr="002C77E8" w:rsidRDefault="00D33A8C" w:rsidP="002C77E8">
      <w:pPr>
        <w:pStyle w:val="ListParagraph"/>
        <w:numPr>
          <w:ilvl w:val="0"/>
          <w:numId w:val="14"/>
        </w:numPr>
        <w:spacing w:after="0" w:line="276" w:lineRule="auto"/>
        <w:jc w:val="both"/>
        <w:rPr>
          <w:rFonts w:ascii="Arial" w:hAnsi="Arial" w:cs="Arial"/>
          <w:sz w:val="24"/>
          <w:szCs w:val="24"/>
        </w:rPr>
      </w:pPr>
      <w:r w:rsidRPr="002C77E8">
        <w:rPr>
          <w:rFonts w:ascii="Arial" w:hAnsi="Arial" w:cs="Arial"/>
          <w:sz w:val="24"/>
          <w:szCs w:val="24"/>
        </w:rPr>
        <w:t>Others whose past or present behaviour gives rise to a reason to suspect that a child may be suffering or likely to suffer significant harm e.g., a history of domestic violence and other serious assaults.</w:t>
      </w:r>
    </w:p>
    <w:p w14:paraId="5684977A" w14:textId="77777777" w:rsidR="00D33A8C" w:rsidRPr="002C77E8" w:rsidRDefault="00D33A8C" w:rsidP="002C77E8">
      <w:pPr>
        <w:pStyle w:val="ListParagraph"/>
        <w:numPr>
          <w:ilvl w:val="0"/>
          <w:numId w:val="14"/>
        </w:numPr>
        <w:spacing w:after="0" w:line="276" w:lineRule="auto"/>
        <w:jc w:val="both"/>
        <w:rPr>
          <w:rFonts w:ascii="Arial" w:hAnsi="Arial" w:cs="Arial"/>
          <w:sz w:val="24"/>
          <w:szCs w:val="24"/>
        </w:rPr>
      </w:pPr>
      <w:r w:rsidRPr="002C77E8">
        <w:rPr>
          <w:rFonts w:ascii="Arial" w:hAnsi="Arial" w:cs="Arial"/>
          <w:sz w:val="24"/>
          <w:szCs w:val="24"/>
        </w:rPr>
        <w:t xml:space="preserve">Where there is significant multi-agency professional concern based on assessment that they potentially pose a risk. This group will require rigorous scrutiny by a manager and any decisions must be clearly recorded with reasons for this professional judgement. </w:t>
      </w:r>
    </w:p>
    <w:p w14:paraId="37B3F631" w14:textId="77777777" w:rsidR="00D33A8C" w:rsidRPr="002C77E8" w:rsidRDefault="00D33A8C" w:rsidP="002C77E8">
      <w:pPr>
        <w:pStyle w:val="ListParagraph"/>
        <w:numPr>
          <w:ilvl w:val="0"/>
          <w:numId w:val="14"/>
        </w:numPr>
        <w:spacing w:after="0" w:line="276" w:lineRule="auto"/>
        <w:jc w:val="both"/>
        <w:rPr>
          <w:rFonts w:ascii="Arial" w:hAnsi="Arial" w:cs="Arial"/>
          <w:sz w:val="24"/>
          <w:szCs w:val="24"/>
        </w:rPr>
      </w:pPr>
      <w:r w:rsidRPr="002C77E8">
        <w:rPr>
          <w:rFonts w:ascii="Arial" w:hAnsi="Arial" w:cs="Arial"/>
          <w:sz w:val="24"/>
          <w:szCs w:val="24"/>
        </w:rPr>
        <w:t>Offenders against adults who are notified to the local authority, because the prison or probation services are concerned about the possible risk to children.</w:t>
      </w:r>
    </w:p>
    <w:p w14:paraId="0DF899FC" w14:textId="77777777" w:rsidR="00D33A8C" w:rsidRPr="00E61EF4" w:rsidRDefault="00D33A8C" w:rsidP="00D33A8C">
      <w:pPr>
        <w:spacing w:after="0" w:line="276" w:lineRule="auto"/>
        <w:jc w:val="both"/>
        <w:rPr>
          <w:rFonts w:ascii="Arial" w:hAnsi="Arial" w:cs="Arial"/>
          <w:sz w:val="24"/>
          <w:szCs w:val="24"/>
        </w:rPr>
      </w:pPr>
    </w:p>
    <w:p w14:paraId="15380668" w14:textId="3F2A9EE8" w:rsidR="00D33A8C" w:rsidRPr="00BA636F" w:rsidRDefault="00D33A8C" w:rsidP="00BA636F">
      <w:pPr>
        <w:spacing w:after="0" w:line="276" w:lineRule="auto"/>
        <w:jc w:val="both"/>
        <w:rPr>
          <w:rFonts w:ascii="Arial" w:hAnsi="Arial" w:cs="Arial"/>
          <w:sz w:val="24"/>
          <w:szCs w:val="24"/>
        </w:rPr>
      </w:pPr>
      <w:r w:rsidRPr="00BA636F">
        <w:rPr>
          <w:rFonts w:ascii="Arial" w:hAnsi="Arial" w:cs="Arial"/>
          <w:b/>
          <w:bCs/>
          <w:sz w:val="24"/>
          <w:szCs w:val="24"/>
        </w:rPr>
        <w:t>Involvement of the Local Authority Designated Officer (LADO)</w:t>
      </w:r>
      <w:r w:rsidRPr="00BA636F">
        <w:rPr>
          <w:rFonts w:ascii="Arial" w:hAnsi="Arial" w:cs="Arial"/>
          <w:sz w:val="24"/>
          <w:szCs w:val="24"/>
        </w:rPr>
        <w:t xml:space="preserve">. This information can only be recorded and viewed by the LADO Service only. </w:t>
      </w:r>
    </w:p>
    <w:p w14:paraId="215A7D8E" w14:textId="77777777" w:rsidR="00D33A8C" w:rsidRPr="00E61EF4" w:rsidRDefault="00D33A8C" w:rsidP="00D33A8C">
      <w:pPr>
        <w:pStyle w:val="ListParagraph"/>
        <w:spacing w:after="0" w:line="276" w:lineRule="auto"/>
        <w:ind w:left="2160"/>
        <w:jc w:val="both"/>
        <w:rPr>
          <w:rFonts w:ascii="Arial" w:hAnsi="Arial" w:cs="Arial"/>
          <w:sz w:val="24"/>
          <w:szCs w:val="24"/>
        </w:rPr>
      </w:pPr>
    </w:p>
    <w:p w14:paraId="278F65C9" w14:textId="77777777" w:rsidR="00D33A8C" w:rsidRPr="00BA636F" w:rsidRDefault="00D33A8C" w:rsidP="00BA636F">
      <w:pPr>
        <w:spacing w:after="0" w:line="276" w:lineRule="auto"/>
        <w:jc w:val="both"/>
        <w:rPr>
          <w:rFonts w:ascii="Arial" w:hAnsi="Arial" w:cs="Arial"/>
          <w:sz w:val="24"/>
          <w:szCs w:val="24"/>
        </w:rPr>
      </w:pPr>
      <w:r w:rsidRPr="00BA636F">
        <w:rPr>
          <w:rFonts w:ascii="Arial" w:hAnsi="Arial" w:cs="Arial"/>
          <w:b/>
          <w:bCs/>
          <w:sz w:val="24"/>
          <w:szCs w:val="24"/>
        </w:rPr>
        <w:lastRenderedPageBreak/>
        <w:t>Multi-Agency Risk Assessment Conference (MARAC) and Multi-Agency Public Protection Arrangements (MAPPA).</w:t>
      </w:r>
      <w:r w:rsidRPr="00BA636F">
        <w:rPr>
          <w:rFonts w:ascii="Arial" w:hAnsi="Arial" w:cs="Arial"/>
          <w:sz w:val="24"/>
          <w:szCs w:val="24"/>
        </w:rPr>
        <w:t xml:space="preserve">  Access to record and view this information is restricted and recording in line with the MARAC and MAPPA procedures. </w:t>
      </w:r>
    </w:p>
    <w:p w14:paraId="3E9E1B60" w14:textId="77777777" w:rsidR="00D33A8C" w:rsidRPr="00D33A8C" w:rsidRDefault="00D33A8C" w:rsidP="00D33A8C">
      <w:pPr>
        <w:spacing w:after="0" w:line="276" w:lineRule="auto"/>
        <w:ind w:firstLine="720"/>
        <w:jc w:val="both"/>
        <w:rPr>
          <w:rFonts w:ascii="Arial" w:hAnsi="Arial" w:cs="Arial"/>
          <w:sz w:val="14"/>
          <w:szCs w:val="14"/>
        </w:rPr>
      </w:pPr>
    </w:p>
    <w:p w14:paraId="16A248AC" w14:textId="77777777" w:rsidR="00D33A8C" w:rsidRPr="00E61EF4" w:rsidRDefault="00D33A8C" w:rsidP="00D33A8C">
      <w:pPr>
        <w:pStyle w:val="Heading1"/>
        <w:spacing w:before="120" w:line="276" w:lineRule="auto"/>
        <w:jc w:val="both"/>
      </w:pPr>
      <w:bookmarkStart w:id="6" w:name="_5._Maintenance_and"/>
      <w:bookmarkEnd w:id="6"/>
      <w:r w:rsidRPr="00E61EF4">
        <w:t>5.</w:t>
      </w:r>
      <w:r>
        <w:t xml:space="preserve"> </w:t>
      </w:r>
      <w:r w:rsidRPr="00E61EF4">
        <w:t>Maintenance and Review of Hazards and Warning Markers</w:t>
      </w:r>
    </w:p>
    <w:p w14:paraId="45550FA3" w14:textId="251536C0" w:rsidR="00D33A8C" w:rsidRPr="00E61EF4" w:rsidRDefault="00D33A8C" w:rsidP="00D33A8C">
      <w:pPr>
        <w:spacing w:before="120" w:after="0" w:line="276" w:lineRule="auto"/>
        <w:jc w:val="both"/>
        <w:rPr>
          <w:rFonts w:ascii="Arial" w:hAnsi="Arial" w:cs="Arial"/>
          <w:sz w:val="24"/>
          <w:szCs w:val="24"/>
        </w:rPr>
      </w:pPr>
      <w:r w:rsidRPr="00E61EF4">
        <w:rPr>
          <w:rFonts w:ascii="Arial" w:hAnsi="Arial" w:cs="Arial"/>
          <w:sz w:val="24"/>
          <w:szCs w:val="24"/>
        </w:rPr>
        <w:t xml:space="preserve">A warning marker is intended to alert colleagues now, or in the future, that an individual may present a risk. It is therefore important that, where subsequent involvement with Integrated Children’s Services indicates risk is reduced, warning markers are reviewed and not left on records for lengthy periods.  Ended hazards and warning markers will be displayed with a strikethrough on the appropriate lozenge. </w:t>
      </w:r>
    </w:p>
    <w:p w14:paraId="4E9D97D9" w14:textId="77777777" w:rsidR="00D33A8C" w:rsidRDefault="00D33A8C" w:rsidP="00D33A8C">
      <w:pPr>
        <w:spacing w:before="120" w:after="0" w:line="276" w:lineRule="auto"/>
        <w:jc w:val="both"/>
        <w:rPr>
          <w:rFonts w:ascii="Arial" w:hAnsi="Arial" w:cs="Arial"/>
          <w:sz w:val="24"/>
          <w:szCs w:val="24"/>
        </w:rPr>
      </w:pPr>
    </w:p>
    <w:p w14:paraId="511859CC" w14:textId="18045B1A" w:rsidR="00D33A8C" w:rsidRPr="00BA636F" w:rsidRDefault="00D33A8C" w:rsidP="00BA636F">
      <w:pPr>
        <w:spacing w:after="0" w:line="276" w:lineRule="auto"/>
        <w:jc w:val="both"/>
        <w:rPr>
          <w:rFonts w:ascii="Arial" w:hAnsi="Arial" w:cs="Arial"/>
          <w:sz w:val="24"/>
          <w:szCs w:val="24"/>
        </w:rPr>
      </w:pPr>
      <w:r w:rsidRPr="00BA636F">
        <w:rPr>
          <w:rFonts w:ascii="Arial" w:hAnsi="Arial" w:cs="Arial"/>
          <w:b/>
          <w:bCs/>
          <w:sz w:val="24"/>
          <w:szCs w:val="24"/>
        </w:rPr>
        <w:t>Hazards on open cases</w:t>
      </w:r>
      <w:r w:rsidRPr="00BA636F">
        <w:rPr>
          <w:rFonts w:ascii="Arial" w:hAnsi="Arial" w:cs="Arial"/>
          <w:sz w:val="24"/>
          <w:szCs w:val="24"/>
        </w:rPr>
        <w:t>: Every six months an automated system generated task to review the hazard will go to the current case holder. If a decision is made that the hazard is no longer relevant or appropriate, then the Hazard can be ended.  It is good practice for the allocated case worker to review any open Hazards during the case closure process.  When hazards are ended the HAZ lozenge will continue to be displayed but will have strikethrough to denote that there is an end date.</w:t>
      </w:r>
    </w:p>
    <w:p w14:paraId="14120C08" w14:textId="77777777" w:rsidR="00D33A8C" w:rsidRDefault="00D33A8C" w:rsidP="00D33A8C">
      <w:pPr>
        <w:pStyle w:val="ListParagraph"/>
        <w:spacing w:after="0" w:line="276" w:lineRule="auto"/>
        <w:jc w:val="both"/>
        <w:rPr>
          <w:rFonts w:ascii="Arial" w:hAnsi="Arial" w:cs="Arial"/>
          <w:sz w:val="24"/>
          <w:szCs w:val="24"/>
        </w:rPr>
      </w:pPr>
    </w:p>
    <w:p w14:paraId="19A9F1D1" w14:textId="1AE4DC6F" w:rsidR="00D33A8C" w:rsidRPr="00BA636F" w:rsidRDefault="00D33A8C" w:rsidP="00BA636F">
      <w:pPr>
        <w:spacing w:after="0" w:line="276" w:lineRule="auto"/>
        <w:jc w:val="both"/>
        <w:rPr>
          <w:rFonts w:ascii="Arial" w:hAnsi="Arial" w:cs="Arial"/>
          <w:sz w:val="24"/>
          <w:szCs w:val="24"/>
        </w:rPr>
      </w:pPr>
      <w:r w:rsidRPr="00BA636F">
        <w:rPr>
          <w:rFonts w:ascii="Arial" w:hAnsi="Arial" w:cs="Arial"/>
          <w:b/>
          <w:bCs/>
          <w:sz w:val="24"/>
          <w:szCs w:val="24"/>
        </w:rPr>
        <w:t>Hazards on closed cases</w:t>
      </w:r>
      <w:r w:rsidRPr="00BA636F">
        <w:rPr>
          <w:rFonts w:ascii="Arial" w:hAnsi="Arial" w:cs="Arial"/>
          <w:sz w:val="24"/>
          <w:szCs w:val="24"/>
        </w:rPr>
        <w:t>:  The CYPE Management &amp; Intelligence Team will review any cases where there has been no involvement with Integrated Children’s Services with any family member in the last 5 years.  If there is no evidence to substantiate the retention of an open hazard an end date will be added.  The process has been approved by the ICS Divisional Management Team.</w:t>
      </w:r>
    </w:p>
    <w:p w14:paraId="3B9223AD" w14:textId="77777777" w:rsidR="00BA636F" w:rsidRDefault="00BA636F" w:rsidP="00BA636F">
      <w:pPr>
        <w:spacing w:after="0" w:line="276" w:lineRule="auto"/>
        <w:jc w:val="both"/>
        <w:rPr>
          <w:rFonts w:ascii="Arial" w:hAnsi="Arial" w:cs="Arial"/>
          <w:b/>
          <w:bCs/>
          <w:sz w:val="24"/>
          <w:szCs w:val="24"/>
        </w:rPr>
      </w:pPr>
    </w:p>
    <w:p w14:paraId="53546DAC" w14:textId="07073BEA" w:rsidR="00D33A8C" w:rsidRPr="00BA636F" w:rsidRDefault="00D33A8C" w:rsidP="00BA636F">
      <w:pPr>
        <w:spacing w:after="0" w:line="276" w:lineRule="auto"/>
        <w:jc w:val="both"/>
        <w:rPr>
          <w:rFonts w:ascii="Arial" w:hAnsi="Arial" w:cs="Arial"/>
          <w:sz w:val="24"/>
          <w:szCs w:val="24"/>
        </w:rPr>
      </w:pPr>
      <w:r w:rsidRPr="00BA636F">
        <w:rPr>
          <w:rFonts w:ascii="Arial" w:hAnsi="Arial" w:cs="Arial"/>
          <w:b/>
          <w:bCs/>
          <w:sz w:val="24"/>
          <w:szCs w:val="24"/>
        </w:rPr>
        <w:t>Persons who pose a risk to children</w:t>
      </w:r>
      <w:r w:rsidRPr="00BA636F">
        <w:rPr>
          <w:rFonts w:ascii="Arial" w:hAnsi="Arial" w:cs="Arial"/>
          <w:sz w:val="24"/>
          <w:szCs w:val="24"/>
        </w:rPr>
        <w:t xml:space="preserve">.  These risks will remain open due to the risk of involvement with vulnerable families in the future and given the criteria against which these are applied there is no requirement to review these warning markers.  They will be ended upon the date of death or 75 years from the date of caution/conviction. </w:t>
      </w:r>
    </w:p>
    <w:p w14:paraId="6900435D" w14:textId="77777777" w:rsidR="00D33A8C" w:rsidRPr="00D33A8C" w:rsidRDefault="00D33A8C" w:rsidP="00D33A8C">
      <w:pPr>
        <w:pStyle w:val="ListParagraph"/>
        <w:rPr>
          <w:rFonts w:ascii="Arial" w:hAnsi="Arial" w:cs="Arial"/>
          <w:b/>
          <w:bCs/>
          <w:sz w:val="24"/>
          <w:szCs w:val="24"/>
        </w:rPr>
      </w:pPr>
    </w:p>
    <w:p w14:paraId="1CFD4E50" w14:textId="55F0A6AD" w:rsidR="00D33A8C" w:rsidRPr="00BA636F" w:rsidRDefault="00D33A8C" w:rsidP="00BA636F">
      <w:pPr>
        <w:spacing w:after="0" w:line="276" w:lineRule="auto"/>
        <w:jc w:val="both"/>
        <w:rPr>
          <w:rFonts w:ascii="Arial" w:hAnsi="Arial" w:cs="Arial"/>
          <w:sz w:val="24"/>
          <w:szCs w:val="24"/>
        </w:rPr>
      </w:pPr>
      <w:r w:rsidRPr="00BA636F">
        <w:rPr>
          <w:rFonts w:ascii="Arial" w:hAnsi="Arial" w:cs="Arial"/>
          <w:b/>
          <w:bCs/>
          <w:sz w:val="24"/>
          <w:szCs w:val="24"/>
        </w:rPr>
        <w:t>Local Authority Designated Officer (LADO).</w:t>
      </w:r>
      <w:r w:rsidRPr="00BA636F">
        <w:rPr>
          <w:rFonts w:ascii="Arial" w:hAnsi="Arial" w:cs="Arial"/>
          <w:sz w:val="24"/>
          <w:szCs w:val="24"/>
        </w:rPr>
        <w:t xml:space="preserve">  If there is an active involvement with the LADO service the lozenge will remain as a warning marker.  This will appear with a strike through once LADO involvement has ended.  Information regarding LADO involvement will remain for forty years following the referral. At which point this information will be deleted</w:t>
      </w:r>
    </w:p>
    <w:p w14:paraId="3CB221DA" w14:textId="77777777" w:rsidR="00D33A8C" w:rsidRPr="00D33A8C" w:rsidRDefault="00D33A8C" w:rsidP="00D33A8C">
      <w:pPr>
        <w:pStyle w:val="ListParagraph"/>
        <w:spacing w:line="276" w:lineRule="auto"/>
        <w:jc w:val="both"/>
        <w:rPr>
          <w:rFonts w:ascii="Arial" w:hAnsi="Arial" w:cs="Arial"/>
          <w:b/>
          <w:bCs/>
          <w:sz w:val="24"/>
          <w:szCs w:val="24"/>
        </w:rPr>
      </w:pPr>
    </w:p>
    <w:p w14:paraId="487B175C" w14:textId="2CC7F89C" w:rsidR="00D33A8C" w:rsidRPr="00BA636F" w:rsidRDefault="00D33A8C" w:rsidP="00BA636F">
      <w:pPr>
        <w:spacing w:after="0" w:line="276" w:lineRule="auto"/>
        <w:jc w:val="both"/>
        <w:rPr>
          <w:rFonts w:ascii="Arial" w:hAnsi="Arial" w:cs="Arial"/>
          <w:sz w:val="24"/>
          <w:szCs w:val="24"/>
        </w:rPr>
      </w:pPr>
      <w:r w:rsidRPr="00BA636F">
        <w:rPr>
          <w:rFonts w:ascii="Arial" w:hAnsi="Arial" w:cs="Arial"/>
          <w:b/>
          <w:bCs/>
          <w:sz w:val="24"/>
          <w:szCs w:val="24"/>
        </w:rPr>
        <w:t>Multi-Agency Risk Assessment Conference (MARAC) and Multi-Agency Public Protection Arrangements (MAPPA).</w:t>
      </w:r>
      <w:r w:rsidRPr="00BA636F">
        <w:rPr>
          <w:rFonts w:ascii="Arial" w:hAnsi="Arial" w:cs="Arial"/>
          <w:sz w:val="24"/>
          <w:szCs w:val="24"/>
        </w:rPr>
        <w:t xml:space="preserve"> </w:t>
      </w:r>
      <w:r w:rsidR="00BA636F">
        <w:rPr>
          <w:rFonts w:ascii="Arial" w:hAnsi="Arial" w:cs="Arial"/>
          <w:sz w:val="24"/>
          <w:szCs w:val="24"/>
        </w:rPr>
        <w:t>T</w:t>
      </w:r>
      <w:r w:rsidRPr="00BA636F">
        <w:rPr>
          <w:rFonts w:ascii="Arial" w:hAnsi="Arial" w:cs="Arial"/>
          <w:sz w:val="24"/>
          <w:szCs w:val="24"/>
        </w:rPr>
        <w:t xml:space="preserve">hese warning markers </w:t>
      </w:r>
      <w:r w:rsidR="00194A74" w:rsidRPr="001D31FB">
        <w:rPr>
          <w:rFonts w:ascii="Arial" w:hAnsi="Arial" w:cs="Arial"/>
          <w:b/>
          <w:bCs/>
          <w:sz w:val="24"/>
          <w:szCs w:val="24"/>
        </w:rPr>
        <w:t>should only be recorded against adults</w:t>
      </w:r>
      <w:r w:rsidR="00194A74" w:rsidRPr="00194A74">
        <w:rPr>
          <w:rFonts w:ascii="Arial" w:hAnsi="Arial" w:cs="Arial"/>
          <w:sz w:val="24"/>
          <w:szCs w:val="24"/>
        </w:rPr>
        <w:t xml:space="preserve"> and </w:t>
      </w:r>
      <w:r w:rsidR="00194A74" w:rsidRPr="001D31FB">
        <w:rPr>
          <w:rFonts w:ascii="Arial" w:hAnsi="Arial" w:cs="Arial"/>
          <w:b/>
          <w:bCs/>
          <w:sz w:val="24"/>
          <w:szCs w:val="24"/>
        </w:rPr>
        <w:t>not children</w:t>
      </w:r>
      <w:r w:rsidR="00194A74" w:rsidRPr="00194A74">
        <w:rPr>
          <w:rFonts w:ascii="Arial" w:hAnsi="Arial" w:cs="Arial"/>
          <w:sz w:val="24"/>
          <w:szCs w:val="24"/>
        </w:rPr>
        <w:t xml:space="preserve"> in the household</w:t>
      </w:r>
      <w:r w:rsidR="00194A74">
        <w:rPr>
          <w:rFonts w:ascii="Arial" w:hAnsi="Arial" w:cs="Arial"/>
          <w:sz w:val="24"/>
          <w:szCs w:val="24"/>
        </w:rPr>
        <w:t xml:space="preserve"> and </w:t>
      </w:r>
      <w:r w:rsidRPr="00BA636F">
        <w:rPr>
          <w:rFonts w:ascii="Arial" w:hAnsi="Arial" w:cs="Arial"/>
          <w:sz w:val="24"/>
          <w:szCs w:val="24"/>
        </w:rPr>
        <w:t xml:space="preserve">will remain open whilst there is ongoing activity with the multi-agency groups and will appear with a strike through once this involvement has ended. </w:t>
      </w:r>
      <w:r w:rsidRPr="00BA636F">
        <w:rPr>
          <w:rFonts w:ascii="Arial" w:hAnsi="Arial" w:cs="Arial"/>
          <w:color w:val="FF0000"/>
          <w:sz w:val="24"/>
          <w:szCs w:val="24"/>
        </w:rPr>
        <w:t xml:space="preserve"> </w:t>
      </w:r>
      <w:r w:rsidRPr="00BA636F">
        <w:rPr>
          <w:rFonts w:ascii="Arial" w:hAnsi="Arial" w:cs="Arial"/>
          <w:sz w:val="24"/>
          <w:szCs w:val="24"/>
        </w:rPr>
        <w:t xml:space="preserve">MAPPA warning markers will be </w:t>
      </w:r>
      <w:r w:rsidRPr="00BA636F">
        <w:rPr>
          <w:rFonts w:ascii="Arial" w:hAnsi="Arial" w:cs="Arial"/>
          <w:sz w:val="24"/>
          <w:szCs w:val="24"/>
        </w:rPr>
        <w:lastRenderedPageBreak/>
        <w:t xml:space="preserve">retained with the record for 75 years after the last review meeting, and MARAC retained for 12 years from the date of closure in line with Kent County Council’s Retention Schedule. </w:t>
      </w:r>
    </w:p>
    <w:p w14:paraId="353BFF89" w14:textId="77777777" w:rsidR="00D33A8C" w:rsidRPr="00E61EF4" w:rsidRDefault="00D33A8C" w:rsidP="00D33A8C">
      <w:pPr>
        <w:spacing w:after="0" w:line="276" w:lineRule="auto"/>
        <w:ind w:left="1440" w:hanging="720"/>
        <w:jc w:val="both"/>
        <w:rPr>
          <w:rFonts w:ascii="Arial" w:hAnsi="Arial" w:cs="Arial"/>
          <w:color w:val="FF0000"/>
          <w:sz w:val="24"/>
          <w:szCs w:val="24"/>
        </w:rPr>
      </w:pPr>
    </w:p>
    <w:p w14:paraId="59C6FFD0" w14:textId="053540AB" w:rsidR="00D33A8C" w:rsidRPr="00E61EF4" w:rsidRDefault="00D33A8C" w:rsidP="00D33A8C">
      <w:pPr>
        <w:spacing w:after="0" w:line="276" w:lineRule="auto"/>
        <w:jc w:val="both"/>
        <w:rPr>
          <w:rFonts w:ascii="Arial" w:hAnsi="Arial" w:cs="Arial"/>
          <w:sz w:val="24"/>
          <w:szCs w:val="24"/>
        </w:rPr>
      </w:pPr>
      <w:r w:rsidRPr="00E61EF4">
        <w:rPr>
          <w:rFonts w:ascii="Arial" w:hAnsi="Arial" w:cs="Arial"/>
          <w:sz w:val="24"/>
          <w:szCs w:val="24"/>
        </w:rPr>
        <w:t>All staff within Integrated Children’s Services have a responsibility to follow this guidance.</w:t>
      </w:r>
    </w:p>
    <w:p w14:paraId="4037D19B" w14:textId="77777777" w:rsidR="00D33A8C" w:rsidRDefault="00D33A8C" w:rsidP="00D33A8C">
      <w:pPr>
        <w:spacing w:before="120" w:after="0" w:line="276" w:lineRule="auto"/>
        <w:jc w:val="both"/>
        <w:rPr>
          <w:rFonts w:ascii="Arial" w:hAnsi="Arial" w:cs="Arial"/>
          <w:sz w:val="24"/>
          <w:szCs w:val="24"/>
        </w:rPr>
      </w:pPr>
    </w:p>
    <w:p w14:paraId="69A6669D" w14:textId="77777777" w:rsidR="00D33A8C" w:rsidRDefault="00D33A8C" w:rsidP="00D33A8C">
      <w:pPr>
        <w:spacing w:before="120" w:after="0" w:line="276" w:lineRule="auto"/>
        <w:jc w:val="both"/>
        <w:rPr>
          <w:rFonts w:ascii="Arial" w:hAnsi="Arial" w:cs="Arial"/>
          <w:sz w:val="24"/>
          <w:szCs w:val="24"/>
        </w:rPr>
      </w:pPr>
    </w:p>
    <w:p w14:paraId="4A22794A" w14:textId="77777777" w:rsidR="00D33A8C" w:rsidRDefault="00D33A8C" w:rsidP="00D33A8C">
      <w:pPr>
        <w:spacing w:before="120" w:after="0" w:line="276" w:lineRule="auto"/>
        <w:jc w:val="both"/>
        <w:rPr>
          <w:rFonts w:ascii="Arial" w:hAnsi="Arial" w:cs="Arial"/>
          <w:sz w:val="24"/>
          <w:szCs w:val="24"/>
        </w:rPr>
      </w:pPr>
    </w:p>
    <w:p w14:paraId="700BD9F0" w14:textId="77777777" w:rsidR="00D33A8C" w:rsidRDefault="00D33A8C" w:rsidP="00D33A8C">
      <w:pPr>
        <w:spacing w:before="120" w:after="0" w:line="276" w:lineRule="auto"/>
        <w:jc w:val="both"/>
        <w:rPr>
          <w:rFonts w:ascii="Arial" w:hAnsi="Arial" w:cs="Arial"/>
          <w:sz w:val="24"/>
          <w:szCs w:val="24"/>
        </w:rPr>
      </w:pPr>
    </w:p>
    <w:p w14:paraId="5C7CF341" w14:textId="77777777" w:rsidR="00D33A8C" w:rsidRDefault="00D33A8C" w:rsidP="00D33A8C">
      <w:pPr>
        <w:spacing w:before="120" w:after="0" w:line="276" w:lineRule="auto"/>
        <w:jc w:val="both"/>
        <w:rPr>
          <w:rFonts w:ascii="Arial" w:hAnsi="Arial" w:cs="Arial"/>
          <w:sz w:val="24"/>
          <w:szCs w:val="24"/>
        </w:rPr>
      </w:pPr>
    </w:p>
    <w:p w14:paraId="78B768DE" w14:textId="77777777" w:rsidR="00D33A8C" w:rsidRDefault="00D33A8C" w:rsidP="00D33A8C">
      <w:pPr>
        <w:spacing w:before="120" w:after="0" w:line="276" w:lineRule="auto"/>
        <w:jc w:val="both"/>
        <w:rPr>
          <w:rFonts w:ascii="Arial" w:hAnsi="Arial" w:cs="Arial"/>
          <w:sz w:val="24"/>
          <w:szCs w:val="24"/>
        </w:rPr>
      </w:pPr>
    </w:p>
    <w:p w14:paraId="20613E6E" w14:textId="77777777" w:rsidR="00D33A8C" w:rsidRDefault="00D33A8C" w:rsidP="00D33A8C">
      <w:pPr>
        <w:spacing w:before="120" w:after="0" w:line="276" w:lineRule="auto"/>
        <w:jc w:val="both"/>
        <w:rPr>
          <w:rFonts w:ascii="Arial" w:hAnsi="Arial" w:cs="Arial"/>
          <w:sz w:val="24"/>
          <w:szCs w:val="24"/>
        </w:rPr>
      </w:pPr>
    </w:p>
    <w:p w14:paraId="464F5324" w14:textId="77777777" w:rsidR="00D33A8C" w:rsidRDefault="00D33A8C" w:rsidP="00D33A8C">
      <w:pPr>
        <w:spacing w:before="120" w:after="0" w:line="276" w:lineRule="auto"/>
        <w:jc w:val="both"/>
        <w:rPr>
          <w:rFonts w:ascii="Arial" w:hAnsi="Arial" w:cs="Arial"/>
          <w:sz w:val="24"/>
          <w:szCs w:val="24"/>
        </w:rPr>
      </w:pPr>
    </w:p>
    <w:p w14:paraId="5529B5D9" w14:textId="77777777" w:rsidR="00D33A8C" w:rsidRDefault="00D33A8C" w:rsidP="00D33A8C">
      <w:pPr>
        <w:spacing w:before="120" w:after="0" w:line="276" w:lineRule="auto"/>
        <w:jc w:val="both"/>
        <w:rPr>
          <w:rFonts w:ascii="Arial" w:hAnsi="Arial" w:cs="Arial"/>
          <w:sz w:val="24"/>
          <w:szCs w:val="24"/>
        </w:rPr>
      </w:pPr>
    </w:p>
    <w:p w14:paraId="6A745577" w14:textId="77777777" w:rsidR="00D33A8C" w:rsidRDefault="00D33A8C" w:rsidP="00D33A8C">
      <w:pPr>
        <w:spacing w:before="120" w:after="0" w:line="276" w:lineRule="auto"/>
        <w:jc w:val="both"/>
        <w:rPr>
          <w:rFonts w:ascii="Arial" w:hAnsi="Arial" w:cs="Arial"/>
          <w:sz w:val="24"/>
          <w:szCs w:val="24"/>
        </w:rPr>
      </w:pPr>
    </w:p>
    <w:p w14:paraId="67C802E1" w14:textId="77777777" w:rsidR="00D33A8C" w:rsidRDefault="00D33A8C" w:rsidP="00D33A8C">
      <w:pPr>
        <w:spacing w:before="120" w:after="0" w:line="276" w:lineRule="auto"/>
        <w:jc w:val="both"/>
        <w:rPr>
          <w:rFonts w:ascii="Arial" w:hAnsi="Arial" w:cs="Arial"/>
          <w:sz w:val="24"/>
          <w:szCs w:val="24"/>
        </w:rPr>
      </w:pPr>
    </w:p>
    <w:p w14:paraId="0B811720" w14:textId="77777777" w:rsidR="00D33A8C" w:rsidRDefault="00D33A8C" w:rsidP="00D33A8C">
      <w:pPr>
        <w:spacing w:before="120" w:after="0" w:line="276" w:lineRule="auto"/>
        <w:jc w:val="both"/>
        <w:rPr>
          <w:rFonts w:ascii="Arial" w:hAnsi="Arial" w:cs="Arial"/>
          <w:sz w:val="24"/>
          <w:szCs w:val="24"/>
        </w:rPr>
      </w:pPr>
    </w:p>
    <w:p w14:paraId="0A8A52E0" w14:textId="77777777" w:rsidR="00D33A8C" w:rsidRDefault="00D33A8C" w:rsidP="00D33A8C">
      <w:pPr>
        <w:spacing w:before="120" w:after="0" w:line="276" w:lineRule="auto"/>
        <w:jc w:val="both"/>
        <w:rPr>
          <w:rFonts w:ascii="Arial" w:hAnsi="Arial" w:cs="Arial"/>
          <w:sz w:val="24"/>
          <w:szCs w:val="24"/>
        </w:rPr>
      </w:pPr>
    </w:p>
    <w:p w14:paraId="6F2F70B9" w14:textId="77777777" w:rsidR="00D33A8C" w:rsidRDefault="00D33A8C" w:rsidP="00D33A8C">
      <w:pPr>
        <w:spacing w:before="120" w:after="0" w:line="276" w:lineRule="auto"/>
        <w:jc w:val="both"/>
        <w:rPr>
          <w:rFonts w:ascii="Arial" w:hAnsi="Arial" w:cs="Arial"/>
          <w:sz w:val="24"/>
          <w:szCs w:val="24"/>
        </w:rPr>
      </w:pPr>
    </w:p>
    <w:p w14:paraId="64304B34" w14:textId="77777777" w:rsidR="00D33A8C" w:rsidRDefault="00D33A8C" w:rsidP="00D33A8C">
      <w:pPr>
        <w:spacing w:before="120" w:after="0" w:line="276" w:lineRule="auto"/>
        <w:jc w:val="both"/>
        <w:rPr>
          <w:rFonts w:ascii="Arial" w:hAnsi="Arial" w:cs="Arial"/>
          <w:sz w:val="24"/>
          <w:szCs w:val="24"/>
        </w:rPr>
      </w:pPr>
    </w:p>
    <w:p w14:paraId="4A63D66C" w14:textId="77777777" w:rsidR="00D33A8C" w:rsidRDefault="00D33A8C" w:rsidP="00D33A8C">
      <w:pPr>
        <w:spacing w:before="120" w:after="0" w:line="276" w:lineRule="auto"/>
        <w:jc w:val="both"/>
        <w:rPr>
          <w:rFonts w:ascii="Arial" w:hAnsi="Arial" w:cs="Arial"/>
          <w:sz w:val="24"/>
          <w:szCs w:val="24"/>
        </w:rPr>
      </w:pPr>
    </w:p>
    <w:p w14:paraId="0AC05C2C" w14:textId="77777777" w:rsidR="00D33A8C" w:rsidRDefault="00D33A8C" w:rsidP="00D33A8C">
      <w:pPr>
        <w:spacing w:before="120" w:after="0" w:line="276" w:lineRule="auto"/>
        <w:jc w:val="both"/>
        <w:rPr>
          <w:rFonts w:ascii="Arial" w:hAnsi="Arial" w:cs="Arial"/>
          <w:sz w:val="24"/>
          <w:szCs w:val="24"/>
        </w:rPr>
      </w:pPr>
    </w:p>
    <w:p w14:paraId="24269A30" w14:textId="344A5B7A" w:rsidR="00D33A8C" w:rsidRDefault="00D33A8C" w:rsidP="00D33A8C">
      <w:pPr>
        <w:spacing w:before="120" w:after="0" w:line="276" w:lineRule="auto"/>
        <w:jc w:val="both"/>
        <w:rPr>
          <w:rFonts w:ascii="Arial" w:hAnsi="Arial" w:cs="Arial"/>
          <w:sz w:val="24"/>
          <w:szCs w:val="24"/>
        </w:rPr>
      </w:pPr>
    </w:p>
    <w:p w14:paraId="6DAE1BAD" w14:textId="77777777" w:rsidR="008D325C" w:rsidRDefault="008D325C" w:rsidP="00D33A8C">
      <w:pPr>
        <w:spacing w:before="120" w:after="0" w:line="276" w:lineRule="auto"/>
        <w:jc w:val="both"/>
        <w:rPr>
          <w:rFonts w:ascii="Arial" w:hAnsi="Arial" w:cs="Arial"/>
          <w:sz w:val="24"/>
          <w:szCs w:val="24"/>
        </w:rPr>
      </w:pPr>
    </w:p>
    <w:p w14:paraId="08C455EC" w14:textId="77777777" w:rsidR="008D325C" w:rsidRDefault="008D325C" w:rsidP="00D33A8C">
      <w:pPr>
        <w:spacing w:before="120" w:after="0" w:line="276" w:lineRule="auto"/>
        <w:jc w:val="both"/>
        <w:rPr>
          <w:rFonts w:ascii="Arial" w:hAnsi="Arial" w:cs="Arial"/>
          <w:sz w:val="24"/>
          <w:szCs w:val="24"/>
        </w:rPr>
      </w:pPr>
    </w:p>
    <w:p w14:paraId="1FA48F27" w14:textId="77777777" w:rsidR="008D325C" w:rsidRDefault="008D325C" w:rsidP="00D33A8C">
      <w:pPr>
        <w:spacing w:before="120" w:after="0" w:line="276" w:lineRule="auto"/>
        <w:jc w:val="both"/>
        <w:rPr>
          <w:rFonts w:ascii="Arial" w:hAnsi="Arial" w:cs="Arial"/>
          <w:sz w:val="24"/>
          <w:szCs w:val="24"/>
        </w:rPr>
        <w:sectPr w:rsidR="008D325C">
          <w:headerReference w:type="default" r:id="rId8"/>
          <w:footerReference w:type="default" r:id="rId9"/>
          <w:pgSz w:w="11906" w:h="16838"/>
          <w:pgMar w:top="1440" w:right="1440" w:bottom="1440" w:left="1440" w:header="708" w:footer="708" w:gutter="0"/>
          <w:cols w:space="708"/>
          <w:docGrid w:linePitch="360"/>
        </w:sectPr>
      </w:pPr>
    </w:p>
    <w:tbl>
      <w:tblPr>
        <w:tblStyle w:val="TableGrid1"/>
        <w:tblW w:w="0" w:type="auto"/>
        <w:tblInd w:w="108" w:type="dxa"/>
        <w:tblLook w:val="04A0" w:firstRow="1" w:lastRow="0" w:firstColumn="1" w:lastColumn="0" w:noHBand="0" w:noVBand="1"/>
      </w:tblPr>
      <w:tblGrid>
        <w:gridCol w:w="5308"/>
        <w:gridCol w:w="1484"/>
        <w:gridCol w:w="3138"/>
        <w:gridCol w:w="4124"/>
      </w:tblGrid>
      <w:tr w:rsidR="008D325C" w:rsidRPr="00E61EF4" w14:paraId="4AA5BB3E" w14:textId="77777777" w:rsidTr="001D31FB">
        <w:trPr>
          <w:trHeight w:val="547"/>
        </w:trPr>
        <w:tc>
          <w:tcPr>
            <w:tcW w:w="5308" w:type="dxa"/>
            <w:shd w:val="clear" w:color="auto" w:fill="4F81BD"/>
          </w:tcPr>
          <w:p w14:paraId="63029A1A" w14:textId="77777777" w:rsidR="008D325C" w:rsidRPr="00E61EF4" w:rsidRDefault="008D325C" w:rsidP="008D325C">
            <w:pPr>
              <w:rPr>
                <w:rFonts w:ascii="Arial" w:hAnsi="Arial" w:cs="Arial"/>
                <w:b/>
                <w:bCs/>
                <w:sz w:val="24"/>
                <w:szCs w:val="24"/>
              </w:rPr>
            </w:pPr>
            <w:bookmarkStart w:id="7" w:name="_Hlk149126911"/>
            <w:r w:rsidRPr="00E61EF4">
              <w:rPr>
                <w:rFonts w:ascii="Arial" w:hAnsi="Arial" w:cs="Arial"/>
                <w:b/>
                <w:bCs/>
                <w:sz w:val="24"/>
                <w:szCs w:val="24"/>
              </w:rPr>
              <w:lastRenderedPageBreak/>
              <w:t>Risk/Hazard</w:t>
            </w:r>
          </w:p>
        </w:tc>
        <w:tc>
          <w:tcPr>
            <w:tcW w:w="1482" w:type="dxa"/>
            <w:shd w:val="clear" w:color="auto" w:fill="4F81BD"/>
          </w:tcPr>
          <w:p w14:paraId="75DEC37D" w14:textId="77777777" w:rsidR="008D325C" w:rsidRPr="00E61EF4" w:rsidRDefault="008D325C" w:rsidP="008D325C">
            <w:pPr>
              <w:rPr>
                <w:rFonts w:ascii="Arial" w:hAnsi="Arial" w:cs="Arial"/>
                <w:b/>
                <w:bCs/>
                <w:sz w:val="24"/>
                <w:szCs w:val="24"/>
              </w:rPr>
            </w:pPr>
            <w:r w:rsidRPr="00E61EF4">
              <w:rPr>
                <w:rFonts w:ascii="Arial" w:hAnsi="Arial" w:cs="Arial"/>
                <w:b/>
                <w:bCs/>
                <w:sz w:val="24"/>
                <w:szCs w:val="24"/>
              </w:rPr>
              <w:t>Review Timescale</w:t>
            </w:r>
          </w:p>
        </w:tc>
        <w:tc>
          <w:tcPr>
            <w:tcW w:w="3138" w:type="dxa"/>
            <w:shd w:val="clear" w:color="auto" w:fill="4F81BD"/>
          </w:tcPr>
          <w:p w14:paraId="7DFE8FC3" w14:textId="77777777" w:rsidR="008D325C" w:rsidRPr="00E61EF4" w:rsidRDefault="008D325C" w:rsidP="008D325C">
            <w:pPr>
              <w:rPr>
                <w:rFonts w:ascii="Arial" w:hAnsi="Arial" w:cs="Arial"/>
                <w:b/>
                <w:bCs/>
                <w:sz w:val="24"/>
                <w:szCs w:val="24"/>
              </w:rPr>
            </w:pPr>
            <w:r w:rsidRPr="00E61EF4">
              <w:rPr>
                <w:rFonts w:ascii="Arial" w:hAnsi="Arial" w:cs="Arial"/>
                <w:b/>
                <w:bCs/>
                <w:sz w:val="24"/>
                <w:szCs w:val="24"/>
              </w:rPr>
              <w:t>Ending of Risk/Warning Marker</w:t>
            </w:r>
          </w:p>
        </w:tc>
        <w:tc>
          <w:tcPr>
            <w:tcW w:w="4124" w:type="dxa"/>
            <w:shd w:val="clear" w:color="auto" w:fill="4F81BD"/>
          </w:tcPr>
          <w:p w14:paraId="29DE27B3" w14:textId="77777777" w:rsidR="008D325C" w:rsidRPr="00E61EF4" w:rsidRDefault="008D325C" w:rsidP="008D325C">
            <w:pPr>
              <w:rPr>
                <w:rFonts w:ascii="Arial" w:hAnsi="Arial" w:cs="Arial"/>
                <w:b/>
                <w:bCs/>
                <w:sz w:val="24"/>
                <w:szCs w:val="24"/>
              </w:rPr>
            </w:pPr>
            <w:r w:rsidRPr="00E61EF4">
              <w:rPr>
                <w:rFonts w:ascii="Arial" w:hAnsi="Arial" w:cs="Arial"/>
                <w:b/>
                <w:bCs/>
                <w:sz w:val="24"/>
                <w:szCs w:val="24"/>
              </w:rPr>
              <w:t>Additional Notes</w:t>
            </w:r>
          </w:p>
        </w:tc>
      </w:tr>
      <w:tr w:rsidR="008D325C" w:rsidRPr="00E61EF4" w14:paraId="63C3FB84" w14:textId="77777777" w:rsidTr="001D31FB">
        <w:trPr>
          <w:trHeight w:val="3559"/>
        </w:trPr>
        <w:tc>
          <w:tcPr>
            <w:tcW w:w="5308" w:type="dxa"/>
          </w:tcPr>
          <w:p w14:paraId="530D22B9" w14:textId="77777777" w:rsidR="008D325C" w:rsidRPr="00E61EF4" w:rsidRDefault="008D325C" w:rsidP="008D325C">
            <w:pPr>
              <w:rPr>
                <w:rFonts w:ascii="Arial" w:hAnsi="Arial" w:cs="Arial"/>
                <w:b/>
                <w:bCs/>
                <w:sz w:val="24"/>
                <w:szCs w:val="24"/>
              </w:rPr>
            </w:pPr>
          </w:p>
          <w:p w14:paraId="39F9EDF2" w14:textId="77777777" w:rsidR="008D325C" w:rsidRPr="00E61EF4" w:rsidRDefault="008D325C" w:rsidP="008D325C">
            <w:pPr>
              <w:rPr>
                <w:rFonts w:ascii="Arial" w:hAnsi="Arial" w:cs="Arial"/>
                <w:sz w:val="24"/>
                <w:szCs w:val="24"/>
              </w:rPr>
            </w:pPr>
            <w:r w:rsidRPr="00E61EF4">
              <w:rPr>
                <w:rFonts w:ascii="Arial" w:hAnsi="Arial" w:cs="Arial"/>
                <w:b/>
                <w:bCs/>
                <w:sz w:val="24"/>
                <w:szCs w:val="24"/>
              </w:rPr>
              <w:t>Risk to Children</w:t>
            </w:r>
            <w:r w:rsidRPr="00E61EF4">
              <w:rPr>
                <w:rFonts w:ascii="Arial" w:hAnsi="Arial" w:cs="Arial"/>
                <w:sz w:val="24"/>
                <w:szCs w:val="24"/>
              </w:rPr>
              <w:t xml:space="preserve"> – to be used when the person has been convicted of an offence against a child.</w:t>
            </w:r>
          </w:p>
          <w:p w14:paraId="442A357B" w14:textId="77777777" w:rsidR="008D325C" w:rsidRPr="00E61EF4" w:rsidRDefault="008D325C" w:rsidP="008D325C">
            <w:pPr>
              <w:ind w:left="780"/>
              <w:contextualSpacing/>
              <w:rPr>
                <w:rFonts w:ascii="Arial" w:hAnsi="Arial" w:cs="Arial"/>
                <w:sz w:val="24"/>
                <w:szCs w:val="24"/>
              </w:rPr>
            </w:pPr>
          </w:p>
        </w:tc>
        <w:tc>
          <w:tcPr>
            <w:tcW w:w="1482" w:type="dxa"/>
          </w:tcPr>
          <w:p w14:paraId="22527DFC" w14:textId="77777777" w:rsidR="008D325C" w:rsidRPr="00E61EF4" w:rsidRDefault="008D325C" w:rsidP="008D325C">
            <w:pPr>
              <w:rPr>
                <w:rFonts w:ascii="Arial" w:hAnsi="Arial" w:cs="Arial"/>
                <w:sz w:val="24"/>
                <w:szCs w:val="24"/>
              </w:rPr>
            </w:pPr>
          </w:p>
          <w:p w14:paraId="51B7FF44" w14:textId="21F54714" w:rsidR="008D325C" w:rsidRPr="00E61EF4" w:rsidRDefault="002C77E8" w:rsidP="008D325C">
            <w:pPr>
              <w:rPr>
                <w:rFonts w:ascii="Arial" w:hAnsi="Arial" w:cs="Arial"/>
                <w:sz w:val="24"/>
                <w:szCs w:val="24"/>
              </w:rPr>
            </w:pPr>
            <w:r>
              <w:rPr>
                <w:rFonts w:ascii="Arial" w:hAnsi="Arial" w:cs="Arial"/>
                <w:sz w:val="24"/>
                <w:szCs w:val="24"/>
              </w:rPr>
              <w:t>Not applicable</w:t>
            </w:r>
          </w:p>
        </w:tc>
        <w:tc>
          <w:tcPr>
            <w:tcW w:w="3138" w:type="dxa"/>
          </w:tcPr>
          <w:p w14:paraId="1AC8C1ED" w14:textId="77777777" w:rsidR="008D325C" w:rsidRPr="00E61EF4" w:rsidRDefault="008D325C" w:rsidP="008D325C">
            <w:pPr>
              <w:rPr>
                <w:rFonts w:ascii="Arial" w:hAnsi="Arial" w:cs="Arial"/>
                <w:sz w:val="24"/>
                <w:szCs w:val="24"/>
              </w:rPr>
            </w:pPr>
          </w:p>
          <w:p w14:paraId="22C45BFE" w14:textId="77777777" w:rsidR="008D325C" w:rsidRPr="00E61EF4" w:rsidRDefault="008D325C" w:rsidP="008D325C">
            <w:pPr>
              <w:rPr>
                <w:rFonts w:ascii="Arial" w:hAnsi="Arial" w:cs="Arial"/>
                <w:sz w:val="24"/>
                <w:szCs w:val="24"/>
              </w:rPr>
            </w:pPr>
            <w:r w:rsidRPr="00E61EF4">
              <w:rPr>
                <w:rFonts w:ascii="Arial" w:hAnsi="Arial" w:cs="Arial"/>
                <w:sz w:val="24"/>
                <w:szCs w:val="24"/>
              </w:rPr>
              <w:t>To be ended on date of death or 75 years from the date of caution/</w:t>
            </w:r>
          </w:p>
          <w:p w14:paraId="6209F045" w14:textId="77777777" w:rsidR="008D325C" w:rsidRPr="00E61EF4" w:rsidRDefault="008D325C" w:rsidP="008D325C">
            <w:pPr>
              <w:rPr>
                <w:rFonts w:ascii="Arial" w:hAnsi="Arial" w:cs="Arial"/>
                <w:sz w:val="24"/>
                <w:szCs w:val="24"/>
              </w:rPr>
            </w:pPr>
            <w:r w:rsidRPr="00E61EF4">
              <w:rPr>
                <w:rFonts w:ascii="Arial" w:hAnsi="Arial" w:cs="Arial"/>
                <w:sz w:val="24"/>
                <w:szCs w:val="24"/>
              </w:rPr>
              <w:t>Conviction, whichever is the earliest</w:t>
            </w:r>
          </w:p>
          <w:p w14:paraId="32536E78" w14:textId="77777777" w:rsidR="008D325C" w:rsidRPr="00E61EF4" w:rsidRDefault="008D325C" w:rsidP="008D325C">
            <w:pPr>
              <w:rPr>
                <w:rFonts w:ascii="Arial" w:hAnsi="Arial" w:cs="Arial"/>
                <w:sz w:val="24"/>
                <w:szCs w:val="24"/>
              </w:rPr>
            </w:pPr>
          </w:p>
        </w:tc>
        <w:tc>
          <w:tcPr>
            <w:tcW w:w="4124" w:type="dxa"/>
          </w:tcPr>
          <w:p w14:paraId="45C1BE8C" w14:textId="77777777" w:rsidR="008D325C" w:rsidRPr="00E61EF4" w:rsidRDefault="008D325C" w:rsidP="008D325C">
            <w:pPr>
              <w:rPr>
                <w:rFonts w:ascii="Arial" w:hAnsi="Arial" w:cs="Arial"/>
                <w:sz w:val="24"/>
                <w:szCs w:val="24"/>
              </w:rPr>
            </w:pPr>
          </w:p>
          <w:p w14:paraId="34B7C93E" w14:textId="77777777" w:rsidR="008D325C" w:rsidRPr="00E61EF4" w:rsidRDefault="008D325C" w:rsidP="008D325C">
            <w:pPr>
              <w:rPr>
                <w:rFonts w:ascii="Arial" w:hAnsi="Arial" w:cs="Arial"/>
                <w:sz w:val="24"/>
                <w:szCs w:val="24"/>
              </w:rPr>
            </w:pPr>
            <w:r w:rsidRPr="00E61EF4">
              <w:rPr>
                <w:rFonts w:ascii="Arial" w:hAnsi="Arial" w:cs="Arial"/>
                <w:sz w:val="24"/>
                <w:szCs w:val="24"/>
              </w:rPr>
              <w:t>Given the level of risk these warning markers will remain open.</w:t>
            </w:r>
          </w:p>
          <w:p w14:paraId="09B014D6" w14:textId="77777777" w:rsidR="008D325C" w:rsidRPr="00E61EF4" w:rsidRDefault="008D325C" w:rsidP="008D325C">
            <w:pPr>
              <w:rPr>
                <w:rFonts w:ascii="Arial" w:hAnsi="Arial" w:cs="Arial"/>
                <w:sz w:val="24"/>
                <w:szCs w:val="24"/>
              </w:rPr>
            </w:pPr>
          </w:p>
          <w:p w14:paraId="431C09E4" w14:textId="77777777" w:rsidR="008D325C" w:rsidRPr="00E61EF4" w:rsidRDefault="008D325C" w:rsidP="008D325C">
            <w:pPr>
              <w:rPr>
                <w:rFonts w:ascii="Arial" w:hAnsi="Arial" w:cs="Arial"/>
                <w:sz w:val="24"/>
                <w:szCs w:val="24"/>
              </w:rPr>
            </w:pPr>
            <w:r w:rsidRPr="00E61EF4">
              <w:rPr>
                <w:rFonts w:ascii="Arial" w:hAnsi="Arial" w:cs="Arial"/>
                <w:sz w:val="24"/>
                <w:szCs w:val="24"/>
              </w:rPr>
              <w:t>Detailed Information regarding the risk is shielded from the general user population and can only be viewed by Team Manager roles and above.</w:t>
            </w:r>
          </w:p>
          <w:p w14:paraId="25B459DB" w14:textId="77777777" w:rsidR="008D325C" w:rsidRPr="00E61EF4" w:rsidRDefault="008D325C" w:rsidP="008D325C">
            <w:pPr>
              <w:rPr>
                <w:rFonts w:ascii="Arial" w:hAnsi="Arial" w:cs="Arial"/>
                <w:sz w:val="24"/>
                <w:szCs w:val="24"/>
              </w:rPr>
            </w:pPr>
          </w:p>
          <w:p w14:paraId="12E7DADD" w14:textId="77777777" w:rsidR="008D325C" w:rsidRPr="00E61EF4" w:rsidRDefault="008D325C" w:rsidP="008D325C">
            <w:pPr>
              <w:rPr>
                <w:rFonts w:ascii="Arial" w:hAnsi="Arial" w:cs="Arial"/>
                <w:sz w:val="24"/>
                <w:szCs w:val="24"/>
              </w:rPr>
            </w:pPr>
            <w:r w:rsidRPr="00E61EF4">
              <w:rPr>
                <w:rFonts w:ascii="Arial" w:hAnsi="Arial" w:cs="Arial"/>
                <w:sz w:val="24"/>
                <w:szCs w:val="24"/>
              </w:rPr>
              <w:t xml:space="preserve">Maintenance of this data is restricted to the Management Information &amp; Intelligence. </w:t>
            </w:r>
          </w:p>
        </w:tc>
      </w:tr>
      <w:tr w:rsidR="008D325C" w:rsidRPr="00E61EF4" w14:paraId="4053D6C0" w14:textId="77777777" w:rsidTr="001D31FB">
        <w:trPr>
          <w:trHeight w:val="1368"/>
        </w:trPr>
        <w:tc>
          <w:tcPr>
            <w:tcW w:w="5308" w:type="dxa"/>
          </w:tcPr>
          <w:p w14:paraId="7094EFBC" w14:textId="77777777" w:rsidR="008D325C" w:rsidRPr="00E61EF4" w:rsidRDefault="008D325C" w:rsidP="008D325C">
            <w:pPr>
              <w:rPr>
                <w:rFonts w:ascii="Arial" w:hAnsi="Arial" w:cs="Arial"/>
                <w:b/>
                <w:bCs/>
                <w:sz w:val="24"/>
                <w:szCs w:val="24"/>
              </w:rPr>
            </w:pPr>
          </w:p>
          <w:p w14:paraId="1CBDF802" w14:textId="77777777" w:rsidR="008D325C" w:rsidRPr="00E61EF4" w:rsidRDefault="008D325C" w:rsidP="008D325C">
            <w:pPr>
              <w:rPr>
                <w:rFonts w:ascii="Arial" w:hAnsi="Arial" w:cs="Arial"/>
                <w:sz w:val="24"/>
                <w:szCs w:val="24"/>
              </w:rPr>
            </w:pPr>
            <w:r w:rsidRPr="00E61EF4">
              <w:rPr>
                <w:rFonts w:ascii="Arial" w:hAnsi="Arial" w:cs="Arial"/>
                <w:b/>
                <w:bCs/>
                <w:sz w:val="24"/>
                <w:szCs w:val="24"/>
              </w:rPr>
              <w:t>Multi-Agency Public Protection Arrangements (MAPPA)</w:t>
            </w:r>
            <w:r w:rsidRPr="00E61EF4">
              <w:rPr>
                <w:rFonts w:ascii="Arial" w:hAnsi="Arial" w:cs="Arial"/>
                <w:sz w:val="24"/>
                <w:szCs w:val="24"/>
              </w:rPr>
              <w:t xml:space="preserve"> identify the person as presenting a significant risk of harm to children or other adults.</w:t>
            </w:r>
          </w:p>
        </w:tc>
        <w:tc>
          <w:tcPr>
            <w:tcW w:w="1482" w:type="dxa"/>
          </w:tcPr>
          <w:p w14:paraId="3EE0302E" w14:textId="77777777" w:rsidR="008D325C" w:rsidRPr="00E61EF4" w:rsidRDefault="008D325C" w:rsidP="008D325C">
            <w:pPr>
              <w:rPr>
                <w:rFonts w:ascii="Arial" w:hAnsi="Arial" w:cs="Arial"/>
                <w:sz w:val="24"/>
                <w:szCs w:val="24"/>
              </w:rPr>
            </w:pPr>
          </w:p>
          <w:p w14:paraId="39A52B2E" w14:textId="77777777" w:rsidR="008D325C" w:rsidRPr="00E61EF4" w:rsidRDefault="008D325C" w:rsidP="008D325C">
            <w:pPr>
              <w:rPr>
                <w:rFonts w:ascii="Arial" w:hAnsi="Arial" w:cs="Arial"/>
                <w:sz w:val="24"/>
                <w:szCs w:val="24"/>
              </w:rPr>
            </w:pPr>
            <w:r w:rsidRPr="00E61EF4">
              <w:rPr>
                <w:rFonts w:ascii="Arial" w:hAnsi="Arial" w:cs="Arial"/>
                <w:sz w:val="24"/>
                <w:szCs w:val="24"/>
              </w:rPr>
              <w:t>Every 3 months</w:t>
            </w:r>
          </w:p>
        </w:tc>
        <w:tc>
          <w:tcPr>
            <w:tcW w:w="3138" w:type="dxa"/>
          </w:tcPr>
          <w:p w14:paraId="10764EB8" w14:textId="77777777" w:rsidR="008D325C" w:rsidRPr="00E61EF4" w:rsidRDefault="008D325C" w:rsidP="008D325C">
            <w:pPr>
              <w:rPr>
                <w:rFonts w:ascii="Arial" w:hAnsi="Arial" w:cs="Arial"/>
                <w:sz w:val="24"/>
                <w:szCs w:val="24"/>
              </w:rPr>
            </w:pPr>
          </w:p>
          <w:p w14:paraId="25B69581" w14:textId="77777777" w:rsidR="008D325C" w:rsidRPr="00E61EF4" w:rsidRDefault="008D325C" w:rsidP="008D325C">
            <w:pPr>
              <w:rPr>
                <w:rFonts w:ascii="Arial" w:hAnsi="Arial" w:cs="Arial"/>
                <w:sz w:val="24"/>
                <w:szCs w:val="24"/>
              </w:rPr>
            </w:pPr>
            <w:r w:rsidRPr="00E61EF4">
              <w:rPr>
                <w:rFonts w:ascii="Arial" w:hAnsi="Arial" w:cs="Arial"/>
                <w:sz w:val="24"/>
                <w:szCs w:val="24"/>
              </w:rPr>
              <w:t xml:space="preserve">To be ended when decision made that there is no longer a risk </w:t>
            </w:r>
          </w:p>
        </w:tc>
        <w:tc>
          <w:tcPr>
            <w:tcW w:w="4124" w:type="dxa"/>
          </w:tcPr>
          <w:p w14:paraId="6892333A" w14:textId="77777777" w:rsidR="008D325C" w:rsidRPr="00E61EF4" w:rsidRDefault="008D325C" w:rsidP="008D325C">
            <w:pPr>
              <w:rPr>
                <w:rFonts w:ascii="Arial" w:hAnsi="Arial" w:cs="Arial"/>
                <w:sz w:val="24"/>
                <w:szCs w:val="24"/>
              </w:rPr>
            </w:pPr>
          </w:p>
          <w:p w14:paraId="4BC42F35" w14:textId="494D43F8" w:rsidR="008D325C" w:rsidRPr="00E61EF4" w:rsidRDefault="008D325C" w:rsidP="008D325C">
            <w:pPr>
              <w:rPr>
                <w:rFonts w:ascii="Arial" w:hAnsi="Arial" w:cs="Arial"/>
                <w:sz w:val="24"/>
                <w:szCs w:val="24"/>
              </w:rPr>
            </w:pPr>
            <w:r w:rsidRPr="00E61EF4">
              <w:rPr>
                <w:rFonts w:ascii="Arial" w:hAnsi="Arial" w:cs="Arial"/>
                <w:sz w:val="24"/>
                <w:szCs w:val="24"/>
              </w:rPr>
              <w:t>Retention period is 75 years from latest MAPPA review meeting</w:t>
            </w:r>
            <w:r w:rsidR="002C77E8">
              <w:rPr>
                <w:rFonts w:ascii="Arial" w:hAnsi="Arial" w:cs="Arial"/>
                <w:sz w:val="24"/>
                <w:szCs w:val="24"/>
              </w:rPr>
              <w:t>.</w:t>
            </w:r>
          </w:p>
        </w:tc>
      </w:tr>
      <w:tr w:rsidR="008D325C" w:rsidRPr="00E61EF4" w14:paraId="043EE489" w14:textId="77777777" w:rsidTr="001D31FB">
        <w:trPr>
          <w:trHeight w:val="3286"/>
        </w:trPr>
        <w:tc>
          <w:tcPr>
            <w:tcW w:w="5308" w:type="dxa"/>
          </w:tcPr>
          <w:p w14:paraId="6B625D10" w14:textId="77777777" w:rsidR="008D325C" w:rsidRPr="00E61EF4" w:rsidRDefault="008D325C" w:rsidP="008D325C">
            <w:pPr>
              <w:rPr>
                <w:rFonts w:ascii="Arial" w:hAnsi="Arial" w:cs="Arial"/>
                <w:b/>
                <w:bCs/>
                <w:sz w:val="24"/>
                <w:szCs w:val="24"/>
              </w:rPr>
            </w:pPr>
          </w:p>
          <w:p w14:paraId="37991C6F" w14:textId="77777777" w:rsidR="008D325C" w:rsidRPr="00E61EF4" w:rsidRDefault="008D325C" w:rsidP="008D325C">
            <w:pPr>
              <w:rPr>
                <w:rFonts w:ascii="Arial" w:hAnsi="Arial" w:cs="Arial"/>
                <w:sz w:val="24"/>
                <w:szCs w:val="24"/>
              </w:rPr>
            </w:pPr>
            <w:r w:rsidRPr="00E61EF4">
              <w:rPr>
                <w:rFonts w:ascii="Arial" w:hAnsi="Arial" w:cs="Arial"/>
                <w:b/>
                <w:bCs/>
                <w:sz w:val="24"/>
                <w:szCs w:val="24"/>
              </w:rPr>
              <w:t>Multi-Agency Risk Assessment Conference (MARAC)</w:t>
            </w:r>
            <w:r w:rsidRPr="00E61EF4">
              <w:rPr>
                <w:rFonts w:ascii="Arial" w:hAnsi="Arial" w:cs="Arial"/>
                <w:sz w:val="24"/>
                <w:szCs w:val="24"/>
              </w:rPr>
              <w:t xml:space="preserve"> identify the person as presenting a risk of significant harm to another adult or adults.</w:t>
            </w:r>
          </w:p>
        </w:tc>
        <w:tc>
          <w:tcPr>
            <w:tcW w:w="1482" w:type="dxa"/>
          </w:tcPr>
          <w:p w14:paraId="07E49E47" w14:textId="77777777" w:rsidR="008D325C" w:rsidRPr="00E61EF4" w:rsidRDefault="008D325C" w:rsidP="008D325C">
            <w:pPr>
              <w:rPr>
                <w:rFonts w:ascii="Arial" w:hAnsi="Arial" w:cs="Arial"/>
                <w:sz w:val="24"/>
                <w:szCs w:val="24"/>
              </w:rPr>
            </w:pPr>
          </w:p>
          <w:p w14:paraId="6898B600" w14:textId="77777777" w:rsidR="008D325C" w:rsidRPr="00E61EF4" w:rsidRDefault="008D325C" w:rsidP="008D325C">
            <w:pPr>
              <w:rPr>
                <w:rFonts w:ascii="Arial" w:hAnsi="Arial" w:cs="Arial"/>
                <w:sz w:val="24"/>
                <w:szCs w:val="24"/>
              </w:rPr>
            </w:pPr>
            <w:r w:rsidRPr="00E61EF4">
              <w:rPr>
                <w:rFonts w:ascii="Arial" w:hAnsi="Arial" w:cs="Arial"/>
                <w:sz w:val="24"/>
                <w:szCs w:val="24"/>
              </w:rPr>
              <w:t>Every 3 months</w:t>
            </w:r>
          </w:p>
        </w:tc>
        <w:tc>
          <w:tcPr>
            <w:tcW w:w="3138" w:type="dxa"/>
          </w:tcPr>
          <w:p w14:paraId="458AFE48" w14:textId="77777777" w:rsidR="008D325C" w:rsidRPr="00E61EF4" w:rsidRDefault="008D325C" w:rsidP="008D325C">
            <w:pPr>
              <w:rPr>
                <w:rFonts w:ascii="Arial" w:hAnsi="Arial" w:cs="Arial"/>
                <w:sz w:val="24"/>
                <w:szCs w:val="24"/>
              </w:rPr>
            </w:pPr>
          </w:p>
          <w:p w14:paraId="0049F9A9" w14:textId="77777777" w:rsidR="008D325C" w:rsidRPr="00E61EF4" w:rsidRDefault="008D325C" w:rsidP="008D325C">
            <w:pPr>
              <w:rPr>
                <w:rFonts w:ascii="Arial" w:hAnsi="Arial" w:cs="Arial"/>
                <w:sz w:val="24"/>
                <w:szCs w:val="24"/>
              </w:rPr>
            </w:pPr>
            <w:r w:rsidRPr="00E61EF4">
              <w:rPr>
                <w:rFonts w:ascii="Arial" w:hAnsi="Arial" w:cs="Arial"/>
                <w:sz w:val="24"/>
                <w:szCs w:val="24"/>
              </w:rPr>
              <w:t>To be ended when decision made that there is no longer a risk</w:t>
            </w:r>
          </w:p>
        </w:tc>
        <w:tc>
          <w:tcPr>
            <w:tcW w:w="4124" w:type="dxa"/>
          </w:tcPr>
          <w:p w14:paraId="30FB7248" w14:textId="77777777" w:rsidR="008D325C" w:rsidRPr="00E61EF4" w:rsidRDefault="008D325C" w:rsidP="008D325C">
            <w:pPr>
              <w:rPr>
                <w:rFonts w:ascii="Arial" w:hAnsi="Arial" w:cs="Arial"/>
                <w:sz w:val="24"/>
                <w:szCs w:val="24"/>
              </w:rPr>
            </w:pPr>
          </w:p>
          <w:p w14:paraId="395BFC3D" w14:textId="77777777" w:rsidR="008D325C" w:rsidRDefault="008D325C" w:rsidP="008D325C">
            <w:pPr>
              <w:rPr>
                <w:rFonts w:ascii="Arial" w:hAnsi="Arial" w:cs="Arial"/>
                <w:sz w:val="24"/>
                <w:szCs w:val="24"/>
              </w:rPr>
            </w:pPr>
            <w:r w:rsidRPr="00E61EF4">
              <w:rPr>
                <w:rFonts w:ascii="Arial" w:hAnsi="Arial" w:cs="Arial"/>
                <w:sz w:val="24"/>
                <w:szCs w:val="24"/>
              </w:rPr>
              <w:t>Recorded on perpetrator only.  Retention period is 12 years from closure.</w:t>
            </w:r>
          </w:p>
          <w:p w14:paraId="261435E9" w14:textId="77777777" w:rsidR="00194A74" w:rsidRDefault="00194A74" w:rsidP="008D325C">
            <w:pPr>
              <w:rPr>
                <w:rFonts w:ascii="Arial" w:hAnsi="Arial" w:cs="Arial"/>
                <w:sz w:val="24"/>
                <w:szCs w:val="24"/>
              </w:rPr>
            </w:pPr>
          </w:p>
          <w:p w14:paraId="6909F758" w14:textId="3D734574" w:rsidR="00194A74" w:rsidRPr="00E61EF4" w:rsidRDefault="00194A74" w:rsidP="008D325C">
            <w:pPr>
              <w:rPr>
                <w:rFonts w:ascii="Arial" w:hAnsi="Arial" w:cs="Arial"/>
                <w:sz w:val="24"/>
                <w:szCs w:val="24"/>
              </w:rPr>
            </w:pPr>
            <w:r w:rsidRPr="00194A74">
              <w:rPr>
                <w:rFonts w:ascii="Arial" w:hAnsi="Arial" w:cs="Arial"/>
                <w:sz w:val="24"/>
                <w:szCs w:val="24"/>
              </w:rPr>
              <w:t xml:space="preserve">MARAC risks should </w:t>
            </w:r>
            <w:r>
              <w:rPr>
                <w:rFonts w:ascii="Arial" w:hAnsi="Arial" w:cs="Arial"/>
                <w:sz w:val="24"/>
                <w:szCs w:val="24"/>
              </w:rPr>
              <w:t>be</w:t>
            </w:r>
            <w:r w:rsidRPr="00194A74">
              <w:rPr>
                <w:rFonts w:ascii="Arial" w:hAnsi="Arial" w:cs="Arial"/>
                <w:sz w:val="24"/>
                <w:szCs w:val="24"/>
              </w:rPr>
              <w:t xml:space="preserve"> recorded against adults and not children in the household</w:t>
            </w:r>
          </w:p>
          <w:p w14:paraId="18E88E59" w14:textId="77777777" w:rsidR="008D325C" w:rsidRPr="00E61EF4" w:rsidRDefault="008D325C" w:rsidP="008D325C">
            <w:pPr>
              <w:rPr>
                <w:rFonts w:ascii="Arial" w:hAnsi="Arial" w:cs="Arial"/>
                <w:sz w:val="24"/>
                <w:szCs w:val="24"/>
              </w:rPr>
            </w:pPr>
          </w:p>
          <w:p w14:paraId="2CA9AC2C" w14:textId="77777777" w:rsidR="008D325C" w:rsidRPr="00E61EF4" w:rsidRDefault="008D325C" w:rsidP="008D325C">
            <w:pPr>
              <w:rPr>
                <w:rFonts w:ascii="Arial" w:hAnsi="Arial" w:cs="Arial"/>
                <w:sz w:val="24"/>
                <w:szCs w:val="24"/>
              </w:rPr>
            </w:pPr>
            <w:r w:rsidRPr="00E61EF4">
              <w:rPr>
                <w:rFonts w:ascii="Arial" w:hAnsi="Arial" w:cs="Arial"/>
                <w:sz w:val="24"/>
                <w:szCs w:val="24"/>
              </w:rPr>
              <w:t xml:space="preserve">Children in the household to have hazard of “associated to potentially violent individual” recorded.  </w:t>
            </w:r>
          </w:p>
        </w:tc>
      </w:tr>
      <w:tr w:rsidR="008D325C" w:rsidRPr="00E61EF4" w14:paraId="690A5219" w14:textId="77777777" w:rsidTr="001D31FB">
        <w:trPr>
          <w:trHeight w:val="1095"/>
        </w:trPr>
        <w:tc>
          <w:tcPr>
            <w:tcW w:w="5308" w:type="dxa"/>
          </w:tcPr>
          <w:p w14:paraId="7BD2195B" w14:textId="77777777" w:rsidR="008D325C" w:rsidRPr="00E61EF4" w:rsidRDefault="008D325C" w:rsidP="008D325C">
            <w:pPr>
              <w:rPr>
                <w:rFonts w:ascii="Arial" w:hAnsi="Arial" w:cs="Arial"/>
                <w:b/>
                <w:bCs/>
                <w:sz w:val="24"/>
                <w:szCs w:val="24"/>
              </w:rPr>
            </w:pPr>
          </w:p>
          <w:p w14:paraId="4623C419" w14:textId="77777777" w:rsidR="008D325C" w:rsidRPr="00E61EF4" w:rsidRDefault="008D325C" w:rsidP="008D325C">
            <w:pPr>
              <w:rPr>
                <w:rFonts w:ascii="Arial" w:hAnsi="Arial" w:cs="Arial"/>
                <w:b/>
                <w:bCs/>
                <w:sz w:val="24"/>
                <w:szCs w:val="24"/>
              </w:rPr>
            </w:pPr>
            <w:r w:rsidRPr="00E61EF4">
              <w:rPr>
                <w:rFonts w:ascii="Arial" w:hAnsi="Arial" w:cs="Arial"/>
                <w:b/>
                <w:bCs/>
                <w:sz w:val="24"/>
                <w:szCs w:val="24"/>
              </w:rPr>
              <w:t>Allegations</w:t>
            </w:r>
          </w:p>
        </w:tc>
        <w:tc>
          <w:tcPr>
            <w:tcW w:w="1482" w:type="dxa"/>
          </w:tcPr>
          <w:p w14:paraId="6526DFA7" w14:textId="77777777" w:rsidR="008D325C" w:rsidRPr="00E61EF4" w:rsidRDefault="008D325C" w:rsidP="008D325C">
            <w:pPr>
              <w:rPr>
                <w:rFonts w:ascii="Arial" w:hAnsi="Arial" w:cs="Arial"/>
                <w:sz w:val="24"/>
                <w:szCs w:val="24"/>
              </w:rPr>
            </w:pPr>
          </w:p>
          <w:p w14:paraId="1F5EEB14" w14:textId="5FBF05DC" w:rsidR="008D325C" w:rsidRPr="00E61EF4" w:rsidRDefault="002C77E8" w:rsidP="008D325C">
            <w:pPr>
              <w:rPr>
                <w:rFonts w:ascii="Arial" w:hAnsi="Arial" w:cs="Arial"/>
                <w:sz w:val="24"/>
                <w:szCs w:val="24"/>
              </w:rPr>
            </w:pPr>
            <w:r>
              <w:rPr>
                <w:rFonts w:ascii="Arial" w:hAnsi="Arial" w:cs="Arial"/>
                <w:sz w:val="24"/>
                <w:szCs w:val="24"/>
              </w:rPr>
              <w:t>Not applicable</w:t>
            </w:r>
          </w:p>
        </w:tc>
        <w:tc>
          <w:tcPr>
            <w:tcW w:w="3138" w:type="dxa"/>
          </w:tcPr>
          <w:p w14:paraId="176D16D7" w14:textId="77777777" w:rsidR="008D325C" w:rsidRPr="00E61EF4" w:rsidRDefault="008D325C" w:rsidP="008D325C">
            <w:pPr>
              <w:rPr>
                <w:rFonts w:ascii="Arial" w:hAnsi="Arial" w:cs="Arial"/>
                <w:sz w:val="24"/>
                <w:szCs w:val="24"/>
              </w:rPr>
            </w:pPr>
          </w:p>
        </w:tc>
        <w:tc>
          <w:tcPr>
            <w:tcW w:w="4124" w:type="dxa"/>
          </w:tcPr>
          <w:p w14:paraId="4F11EEE7" w14:textId="77777777" w:rsidR="008D325C" w:rsidRPr="00E61EF4" w:rsidRDefault="008D325C" w:rsidP="008D325C">
            <w:pPr>
              <w:rPr>
                <w:rFonts w:ascii="Arial" w:hAnsi="Arial" w:cs="Arial"/>
                <w:sz w:val="24"/>
                <w:szCs w:val="24"/>
              </w:rPr>
            </w:pPr>
          </w:p>
          <w:p w14:paraId="7E06E19D" w14:textId="77777777" w:rsidR="008D325C" w:rsidRPr="00E61EF4" w:rsidRDefault="008D325C" w:rsidP="008D325C">
            <w:pPr>
              <w:rPr>
                <w:rFonts w:ascii="Arial" w:hAnsi="Arial" w:cs="Arial"/>
                <w:sz w:val="24"/>
                <w:szCs w:val="24"/>
              </w:rPr>
            </w:pPr>
            <w:r w:rsidRPr="00E61EF4">
              <w:rPr>
                <w:rFonts w:ascii="Arial" w:hAnsi="Arial" w:cs="Arial"/>
                <w:sz w:val="24"/>
                <w:szCs w:val="24"/>
              </w:rPr>
              <w:t xml:space="preserve">Input to this section has been deactivated. The LADO workspace is used for all allegations. </w:t>
            </w:r>
          </w:p>
        </w:tc>
      </w:tr>
      <w:tr w:rsidR="008D325C" w:rsidRPr="00E61EF4" w14:paraId="5955428E" w14:textId="77777777" w:rsidTr="001D31FB">
        <w:trPr>
          <w:trHeight w:val="6910"/>
        </w:trPr>
        <w:tc>
          <w:tcPr>
            <w:tcW w:w="5308" w:type="dxa"/>
          </w:tcPr>
          <w:p w14:paraId="4BFC71E8" w14:textId="77777777" w:rsidR="008D325C" w:rsidRPr="00E61EF4" w:rsidRDefault="008D325C" w:rsidP="008D325C">
            <w:pPr>
              <w:rPr>
                <w:rFonts w:ascii="Arial" w:hAnsi="Arial" w:cs="Arial"/>
                <w:b/>
                <w:bCs/>
                <w:sz w:val="24"/>
                <w:szCs w:val="24"/>
              </w:rPr>
            </w:pPr>
          </w:p>
          <w:p w14:paraId="2EAAAF8B" w14:textId="77777777" w:rsidR="008D325C" w:rsidRPr="00E61EF4" w:rsidRDefault="008D325C" w:rsidP="008D325C">
            <w:pPr>
              <w:rPr>
                <w:rFonts w:ascii="Arial" w:hAnsi="Arial" w:cs="Arial"/>
                <w:sz w:val="24"/>
                <w:szCs w:val="24"/>
              </w:rPr>
            </w:pPr>
            <w:r w:rsidRPr="00E61EF4">
              <w:rPr>
                <w:rFonts w:ascii="Arial" w:hAnsi="Arial" w:cs="Arial"/>
                <w:b/>
                <w:bCs/>
                <w:sz w:val="24"/>
                <w:szCs w:val="24"/>
              </w:rPr>
              <w:t xml:space="preserve">Hazards </w:t>
            </w:r>
            <w:r w:rsidRPr="00E61EF4">
              <w:rPr>
                <w:rFonts w:ascii="Arial" w:hAnsi="Arial" w:cs="Arial"/>
                <w:sz w:val="24"/>
                <w:szCs w:val="24"/>
              </w:rPr>
              <w:t>– should be used when a person’s behaviour poses specific risks to staff members and/or service providers. This category can also be applied when the risk is being posed by other family members or associates. The following categorisation of Hazards is available:</w:t>
            </w:r>
          </w:p>
          <w:p w14:paraId="651D2E4D" w14:textId="77777777" w:rsidR="008D325C" w:rsidRPr="00E61EF4" w:rsidRDefault="008D325C" w:rsidP="008D325C">
            <w:pPr>
              <w:numPr>
                <w:ilvl w:val="0"/>
                <w:numId w:val="13"/>
              </w:numPr>
              <w:contextualSpacing/>
              <w:rPr>
                <w:rFonts w:ascii="Arial" w:hAnsi="Arial" w:cs="Arial"/>
                <w:sz w:val="24"/>
                <w:szCs w:val="24"/>
              </w:rPr>
            </w:pPr>
            <w:r w:rsidRPr="00E61EF4">
              <w:rPr>
                <w:rFonts w:ascii="Arial" w:hAnsi="Arial" w:cs="Arial"/>
                <w:sz w:val="24"/>
                <w:szCs w:val="24"/>
              </w:rPr>
              <w:t>Aggressive Pets</w:t>
            </w:r>
          </w:p>
          <w:p w14:paraId="2B8632C4" w14:textId="77777777" w:rsidR="008D325C" w:rsidRPr="00E61EF4" w:rsidRDefault="008D325C" w:rsidP="008D325C">
            <w:pPr>
              <w:numPr>
                <w:ilvl w:val="0"/>
                <w:numId w:val="13"/>
              </w:numPr>
              <w:contextualSpacing/>
              <w:rPr>
                <w:rFonts w:ascii="Arial" w:hAnsi="Arial" w:cs="Arial"/>
                <w:sz w:val="24"/>
                <w:szCs w:val="24"/>
              </w:rPr>
            </w:pPr>
            <w:r w:rsidRPr="00E61EF4">
              <w:rPr>
                <w:rFonts w:ascii="Arial" w:hAnsi="Arial" w:cs="Arial"/>
                <w:sz w:val="24"/>
                <w:szCs w:val="24"/>
              </w:rPr>
              <w:t>Associated to a potentially violent individual</w:t>
            </w:r>
          </w:p>
          <w:p w14:paraId="5656472B" w14:textId="77777777" w:rsidR="008D325C" w:rsidRPr="00E61EF4" w:rsidRDefault="008D325C" w:rsidP="008D325C">
            <w:pPr>
              <w:numPr>
                <w:ilvl w:val="0"/>
                <w:numId w:val="13"/>
              </w:numPr>
              <w:contextualSpacing/>
              <w:rPr>
                <w:rFonts w:ascii="Arial" w:hAnsi="Arial" w:cs="Arial"/>
                <w:sz w:val="24"/>
                <w:szCs w:val="24"/>
              </w:rPr>
            </w:pPr>
            <w:r w:rsidRPr="00E61EF4">
              <w:rPr>
                <w:rFonts w:ascii="Arial" w:hAnsi="Arial" w:cs="Arial"/>
                <w:sz w:val="24"/>
                <w:szCs w:val="24"/>
              </w:rPr>
              <w:t>Associated to individual who poses a risk to children*</w:t>
            </w:r>
          </w:p>
          <w:p w14:paraId="46F51EC7" w14:textId="77777777" w:rsidR="008D325C" w:rsidRPr="00E61EF4" w:rsidRDefault="008D325C" w:rsidP="008D325C">
            <w:pPr>
              <w:numPr>
                <w:ilvl w:val="0"/>
                <w:numId w:val="13"/>
              </w:numPr>
              <w:contextualSpacing/>
              <w:rPr>
                <w:rFonts w:ascii="Arial" w:hAnsi="Arial" w:cs="Arial"/>
                <w:sz w:val="24"/>
                <w:szCs w:val="24"/>
              </w:rPr>
            </w:pPr>
            <w:r w:rsidRPr="00E61EF4">
              <w:rPr>
                <w:rFonts w:ascii="Arial" w:hAnsi="Arial" w:cs="Arial"/>
                <w:sz w:val="24"/>
                <w:szCs w:val="24"/>
              </w:rPr>
              <w:t>Child/Young Person who is potentially violent</w:t>
            </w:r>
          </w:p>
          <w:p w14:paraId="44AA902F" w14:textId="77777777" w:rsidR="008D325C" w:rsidRPr="00E61EF4" w:rsidRDefault="008D325C" w:rsidP="008D325C">
            <w:pPr>
              <w:numPr>
                <w:ilvl w:val="0"/>
                <w:numId w:val="13"/>
              </w:numPr>
              <w:contextualSpacing/>
              <w:rPr>
                <w:rFonts w:ascii="Arial" w:hAnsi="Arial" w:cs="Arial"/>
                <w:sz w:val="24"/>
                <w:szCs w:val="24"/>
              </w:rPr>
            </w:pPr>
            <w:r w:rsidRPr="00E61EF4">
              <w:rPr>
                <w:rFonts w:ascii="Arial" w:hAnsi="Arial" w:cs="Arial"/>
                <w:sz w:val="24"/>
                <w:szCs w:val="24"/>
              </w:rPr>
              <w:t>Hazard notified by other LA</w:t>
            </w:r>
          </w:p>
          <w:p w14:paraId="5E6A3762" w14:textId="77777777" w:rsidR="008D325C" w:rsidRPr="00E61EF4" w:rsidRDefault="008D325C" w:rsidP="008D325C">
            <w:pPr>
              <w:numPr>
                <w:ilvl w:val="0"/>
                <w:numId w:val="13"/>
              </w:numPr>
              <w:contextualSpacing/>
              <w:rPr>
                <w:rFonts w:ascii="Arial" w:hAnsi="Arial" w:cs="Arial"/>
                <w:sz w:val="24"/>
                <w:szCs w:val="24"/>
              </w:rPr>
            </w:pPr>
            <w:r w:rsidRPr="00E61EF4">
              <w:rPr>
                <w:rFonts w:ascii="Arial" w:hAnsi="Arial" w:cs="Arial"/>
                <w:sz w:val="24"/>
                <w:szCs w:val="24"/>
              </w:rPr>
              <w:t>Potentially Hazardous Home Environment</w:t>
            </w:r>
          </w:p>
          <w:p w14:paraId="2BDBA26A" w14:textId="77777777" w:rsidR="008D325C" w:rsidRPr="00E61EF4" w:rsidRDefault="008D325C" w:rsidP="008D325C">
            <w:pPr>
              <w:numPr>
                <w:ilvl w:val="0"/>
                <w:numId w:val="13"/>
              </w:numPr>
              <w:contextualSpacing/>
              <w:rPr>
                <w:rFonts w:ascii="Arial" w:hAnsi="Arial" w:cs="Arial"/>
                <w:sz w:val="24"/>
                <w:szCs w:val="24"/>
              </w:rPr>
            </w:pPr>
            <w:r w:rsidRPr="00E61EF4">
              <w:rPr>
                <w:rFonts w:ascii="Arial" w:hAnsi="Arial" w:cs="Arial"/>
                <w:sz w:val="24"/>
                <w:szCs w:val="24"/>
              </w:rPr>
              <w:t>Potentially Violent Individual</w:t>
            </w:r>
          </w:p>
          <w:p w14:paraId="23F280FF" w14:textId="77777777" w:rsidR="008D325C" w:rsidRPr="00E61EF4" w:rsidRDefault="008D325C" w:rsidP="008D325C">
            <w:pPr>
              <w:numPr>
                <w:ilvl w:val="0"/>
                <w:numId w:val="13"/>
              </w:numPr>
              <w:contextualSpacing/>
              <w:rPr>
                <w:rFonts w:ascii="Arial" w:hAnsi="Arial" w:cs="Arial"/>
                <w:sz w:val="24"/>
                <w:szCs w:val="24"/>
              </w:rPr>
            </w:pPr>
            <w:r w:rsidRPr="00E61EF4">
              <w:rPr>
                <w:rFonts w:ascii="Arial" w:hAnsi="Arial" w:cs="Arial"/>
                <w:sz w:val="24"/>
                <w:szCs w:val="24"/>
              </w:rPr>
              <w:t>Concerns that a person may be a risk to children**</w:t>
            </w:r>
          </w:p>
          <w:p w14:paraId="294B6ADD" w14:textId="77777777" w:rsidR="008D325C" w:rsidRPr="00E61EF4" w:rsidRDefault="008D325C" w:rsidP="008D325C">
            <w:pPr>
              <w:ind w:left="720"/>
              <w:contextualSpacing/>
              <w:rPr>
                <w:rFonts w:ascii="Arial" w:hAnsi="Arial" w:cs="Arial"/>
                <w:sz w:val="24"/>
                <w:szCs w:val="24"/>
              </w:rPr>
            </w:pPr>
          </w:p>
        </w:tc>
        <w:tc>
          <w:tcPr>
            <w:tcW w:w="1482" w:type="dxa"/>
          </w:tcPr>
          <w:p w14:paraId="4D4F6AEA" w14:textId="77777777" w:rsidR="008D325C" w:rsidRPr="00E61EF4" w:rsidRDefault="008D325C" w:rsidP="008D325C">
            <w:pPr>
              <w:rPr>
                <w:rFonts w:ascii="Arial" w:hAnsi="Arial" w:cs="Arial"/>
                <w:sz w:val="24"/>
                <w:szCs w:val="24"/>
              </w:rPr>
            </w:pPr>
          </w:p>
          <w:p w14:paraId="7AC5698C" w14:textId="77777777" w:rsidR="008D325C" w:rsidRPr="00E61EF4" w:rsidRDefault="008D325C" w:rsidP="008D325C">
            <w:pPr>
              <w:rPr>
                <w:rFonts w:ascii="Arial" w:hAnsi="Arial" w:cs="Arial"/>
                <w:sz w:val="24"/>
                <w:szCs w:val="24"/>
              </w:rPr>
            </w:pPr>
            <w:r w:rsidRPr="00E61EF4">
              <w:rPr>
                <w:rFonts w:ascii="Arial" w:hAnsi="Arial" w:cs="Arial"/>
                <w:sz w:val="24"/>
                <w:szCs w:val="24"/>
              </w:rPr>
              <w:t>Every 6 Months (excluding*)</w:t>
            </w:r>
          </w:p>
        </w:tc>
        <w:tc>
          <w:tcPr>
            <w:tcW w:w="3138" w:type="dxa"/>
          </w:tcPr>
          <w:p w14:paraId="026F1833" w14:textId="77777777" w:rsidR="008D325C" w:rsidRPr="00E61EF4" w:rsidRDefault="008D325C" w:rsidP="008D325C">
            <w:pPr>
              <w:rPr>
                <w:rFonts w:ascii="Arial" w:hAnsi="Arial" w:cs="Arial"/>
                <w:sz w:val="24"/>
                <w:szCs w:val="24"/>
              </w:rPr>
            </w:pPr>
          </w:p>
          <w:p w14:paraId="7B000536" w14:textId="77777777" w:rsidR="008D325C" w:rsidRPr="00E61EF4" w:rsidRDefault="008D325C" w:rsidP="008D325C">
            <w:pPr>
              <w:rPr>
                <w:rFonts w:ascii="Arial" w:hAnsi="Arial" w:cs="Arial"/>
                <w:sz w:val="24"/>
                <w:szCs w:val="24"/>
              </w:rPr>
            </w:pPr>
            <w:r w:rsidRPr="00E61EF4">
              <w:rPr>
                <w:rFonts w:ascii="Arial" w:hAnsi="Arial" w:cs="Arial"/>
                <w:sz w:val="24"/>
                <w:szCs w:val="24"/>
              </w:rPr>
              <w:t>To be ended when no longer relevant, or 5 years after the last involvement with any family member.</w:t>
            </w:r>
          </w:p>
          <w:p w14:paraId="4AD4DAA9" w14:textId="77777777" w:rsidR="008D325C" w:rsidRPr="00E61EF4" w:rsidRDefault="008D325C" w:rsidP="008D325C">
            <w:pPr>
              <w:rPr>
                <w:rFonts w:ascii="Arial" w:hAnsi="Arial" w:cs="Arial"/>
                <w:sz w:val="24"/>
                <w:szCs w:val="24"/>
              </w:rPr>
            </w:pPr>
          </w:p>
          <w:p w14:paraId="62D5617B" w14:textId="77777777" w:rsidR="008D325C" w:rsidRPr="00E61EF4" w:rsidRDefault="008D325C" w:rsidP="008D325C">
            <w:pPr>
              <w:rPr>
                <w:rFonts w:ascii="Arial" w:hAnsi="Arial" w:cs="Arial"/>
                <w:sz w:val="24"/>
                <w:szCs w:val="24"/>
              </w:rPr>
            </w:pPr>
            <w:r w:rsidRPr="00E61EF4">
              <w:rPr>
                <w:rFonts w:ascii="Arial" w:hAnsi="Arial" w:cs="Arial"/>
                <w:sz w:val="24"/>
                <w:szCs w:val="24"/>
              </w:rPr>
              <w:t xml:space="preserve">For those “associated to individual who poses a risk to children” the risk should be ended when there is no longer any perceived risk to either that person, or their family/ associates. </w:t>
            </w:r>
          </w:p>
          <w:p w14:paraId="2F098E97" w14:textId="77777777" w:rsidR="008D325C" w:rsidRPr="00E61EF4" w:rsidRDefault="008D325C" w:rsidP="008D325C">
            <w:pPr>
              <w:rPr>
                <w:rFonts w:ascii="Arial" w:hAnsi="Arial" w:cs="Arial"/>
                <w:sz w:val="24"/>
                <w:szCs w:val="24"/>
              </w:rPr>
            </w:pPr>
          </w:p>
          <w:p w14:paraId="28245DDB" w14:textId="07EDD365" w:rsidR="008D325C" w:rsidRPr="00E61EF4" w:rsidRDefault="008D325C" w:rsidP="008D325C">
            <w:pPr>
              <w:contextualSpacing/>
              <w:rPr>
                <w:rFonts w:ascii="Arial" w:hAnsi="Arial" w:cs="Arial"/>
                <w:sz w:val="24"/>
                <w:szCs w:val="24"/>
              </w:rPr>
            </w:pPr>
            <w:r w:rsidRPr="00E61EF4">
              <w:rPr>
                <w:rFonts w:ascii="Arial" w:hAnsi="Arial" w:cs="Arial"/>
                <w:sz w:val="24"/>
                <w:szCs w:val="24"/>
              </w:rPr>
              <w:t>**For those “concerns that a person may be a risk to children” no end date will be required, and the hazard should be ended when it is determined the person is or is not a risk to children. If the risk has been determined a risk to children lozenge should be added.</w:t>
            </w:r>
          </w:p>
        </w:tc>
        <w:tc>
          <w:tcPr>
            <w:tcW w:w="4124" w:type="dxa"/>
          </w:tcPr>
          <w:p w14:paraId="16316FC1" w14:textId="77777777" w:rsidR="008D325C" w:rsidRPr="00E61EF4" w:rsidRDefault="008D325C" w:rsidP="008D325C">
            <w:pPr>
              <w:rPr>
                <w:rFonts w:ascii="Arial" w:hAnsi="Arial" w:cs="Arial"/>
                <w:sz w:val="24"/>
                <w:szCs w:val="24"/>
              </w:rPr>
            </w:pPr>
          </w:p>
          <w:p w14:paraId="019906C0" w14:textId="77777777" w:rsidR="008D325C" w:rsidRPr="00E61EF4" w:rsidRDefault="008D325C" w:rsidP="008D325C">
            <w:pPr>
              <w:rPr>
                <w:rFonts w:ascii="Arial" w:hAnsi="Arial" w:cs="Arial"/>
                <w:sz w:val="24"/>
                <w:szCs w:val="24"/>
              </w:rPr>
            </w:pPr>
            <w:r w:rsidRPr="00E61EF4">
              <w:rPr>
                <w:rFonts w:ascii="Arial" w:hAnsi="Arial" w:cs="Arial"/>
                <w:sz w:val="24"/>
                <w:szCs w:val="24"/>
              </w:rPr>
              <w:t>For open cases the review will be created as a task for the allocated case worker.</w:t>
            </w:r>
          </w:p>
          <w:p w14:paraId="66A499BD" w14:textId="77777777" w:rsidR="008D325C" w:rsidRPr="00E61EF4" w:rsidRDefault="008D325C" w:rsidP="008D325C">
            <w:pPr>
              <w:rPr>
                <w:rFonts w:ascii="Arial" w:hAnsi="Arial" w:cs="Arial"/>
                <w:sz w:val="24"/>
                <w:szCs w:val="24"/>
              </w:rPr>
            </w:pPr>
          </w:p>
          <w:p w14:paraId="53AAC505" w14:textId="77777777" w:rsidR="008D325C" w:rsidRPr="00E61EF4" w:rsidRDefault="008D325C" w:rsidP="008D325C">
            <w:pPr>
              <w:rPr>
                <w:rFonts w:ascii="Arial" w:hAnsi="Arial" w:cs="Arial"/>
                <w:sz w:val="24"/>
                <w:szCs w:val="24"/>
              </w:rPr>
            </w:pPr>
            <w:r w:rsidRPr="00E61EF4">
              <w:rPr>
                <w:rFonts w:ascii="Arial" w:hAnsi="Arial" w:cs="Arial"/>
                <w:sz w:val="24"/>
                <w:szCs w:val="24"/>
              </w:rPr>
              <w:t>For closed cases the review date will extended in six monthly intervals by Management Information &amp; Intelligence.</w:t>
            </w:r>
          </w:p>
        </w:tc>
      </w:tr>
      <w:tr w:rsidR="008D325C" w:rsidRPr="00E61EF4" w14:paraId="7A2531B0" w14:textId="77777777" w:rsidTr="001D31FB">
        <w:trPr>
          <w:trHeight w:val="547"/>
        </w:trPr>
        <w:tc>
          <w:tcPr>
            <w:tcW w:w="5308" w:type="dxa"/>
          </w:tcPr>
          <w:p w14:paraId="36E73773" w14:textId="77777777" w:rsidR="008D325C" w:rsidRPr="00E61EF4" w:rsidRDefault="008D325C" w:rsidP="008D325C">
            <w:pPr>
              <w:rPr>
                <w:rFonts w:ascii="Arial" w:hAnsi="Arial" w:cs="Arial"/>
                <w:b/>
                <w:bCs/>
                <w:sz w:val="24"/>
                <w:szCs w:val="24"/>
              </w:rPr>
            </w:pPr>
            <w:r w:rsidRPr="00E61EF4">
              <w:rPr>
                <w:rFonts w:ascii="Arial" w:hAnsi="Arial" w:cs="Arial"/>
                <w:b/>
                <w:bCs/>
                <w:sz w:val="24"/>
                <w:szCs w:val="24"/>
              </w:rPr>
              <w:t>Offences</w:t>
            </w:r>
          </w:p>
        </w:tc>
        <w:tc>
          <w:tcPr>
            <w:tcW w:w="1482" w:type="dxa"/>
          </w:tcPr>
          <w:p w14:paraId="5F4705E6" w14:textId="1CB43B22" w:rsidR="008D325C" w:rsidRPr="00E61EF4" w:rsidRDefault="002C77E8" w:rsidP="008D325C">
            <w:pPr>
              <w:rPr>
                <w:rFonts w:ascii="Arial" w:hAnsi="Arial" w:cs="Arial"/>
                <w:sz w:val="24"/>
                <w:szCs w:val="24"/>
              </w:rPr>
            </w:pPr>
            <w:r>
              <w:rPr>
                <w:rFonts w:ascii="Arial" w:hAnsi="Arial" w:cs="Arial"/>
                <w:sz w:val="24"/>
                <w:szCs w:val="24"/>
              </w:rPr>
              <w:t>Not applicable</w:t>
            </w:r>
          </w:p>
        </w:tc>
        <w:tc>
          <w:tcPr>
            <w:tcW w:w="3138" w:type="dxa"/>
          </w:tcPr>
          <w:p w14:paraId="42BA4190" w14:textId="77777777" w:rsidR="008D325C" w:rsidRPr="00E61EF4" w:rsidRDefault="008D325C" w:rsidP="008D325C">
            <w:pPr>
              <w:rPr>
                <w:rFonts w:ascii="Arial" w:hAnsi="Arial" w:cs="Arial"/>
                <w:sz w:val="24"/>
                <w:szCs w:val="24"/>
              </w:rPr>
            </w:pPr>
          </w:p>
        </w:tc>
        <w:tc>
          <w:tcPr>
            <w:tcW w:w="4124" w:type="dxa"/>
          </w:tcPr>
          <w:p w14:paraId="7E72188F" w14:textId="77777777" w:rsidR="008D325C" w:rsidRPr="00E61EF4" w:rsidRDefault="008D325C" w:rsidP="008D325C">
            <w:pPr>
              <w:rPr>
                <w:rFonts w:ascii="Arial" w:hAnsi="Arial" w:cs="Arial"/>
                <w:sz w:val="24"/>
                <w:szCs w:val="24"/>
              </w:rPr>
            </w:pPr>
            <w:r w:rsidRPr="00E61EF4">
              <w:rPr>
                <w:rFonts w:ascii="Arial" w:hAnsi="Arial" w:cs="Arial"/>
                <w:sz w:val="24"/>
                <w:szCs w:val="24"/>
              </w:rPr>
              <w:t xml:space="preserve">This section is not in use </w:t>
            </w:r>
          </w:p>
        </w:tc>
      </w:tr>
      <w:bookmarkEnd w:id="7"/>
    </w:tbl>
    <w:p w14:paraId="60405909" w14:textId="77777777" w:rsidR="008D325C" w:rsidRDefault="008D325C" w:rsidP="00D33A8C">
      <w:pPr>
        <w:spacing w:before="120" w:after="0" w:line="276" w:lineRule="auto"/>
        <w:jc w:val="both"/>
        <w:rPr>
          <w:rFonts w:ascii="Arial" w:hAnsi="Arial" w:cs="Arial"/>
          <w:sz w:val="24"/>
          <w:szCs w:val="24"/>
        </w:rPr>
      </w:pPr>
    </w:p>
    <w:sectPr w:rsidR="008D325C" w:rsidSect="008D325C">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12E5" w14:textId="77777777" w:rsidR="00B34595" w:rsidRDefault="00B34595" w:rsidP="00B34595">
      <w:pPr>
        <w:spacing w:after="0" w:line="240" w:lineRule="auto"/>
      </w:pPr>
      <w:r>
        <w:separator/>
      </w:r>
    </w:p>
  </w:endnote>
  <w:endnote w:type="continuationSeparator" w:id="0">
    <w:p w14:paraId="79593BD5" w14:textId="77777777" w:rsidR="00B34595" w:rsidRDefault="00B34595" w:rsidP="00B3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1EAF" w14:textId="02EFC610" w:rsidR="00B34595" w:rsidRDefault="00B34595">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3CCE" w14:textId="77777777" w:rsidR="00B34595" w:rsidRDefault="00B34595" w:rsidP="00B34595">
      <w:pPr>
        <w:spacing w:after="0" w:line="240" w:lineRule="auto"/>
      </w:pPr>
      <w:r>
        <w:separator/>
      </w:r>
    </w:p>
  </w:footnote>
  <w:footnote w:type="continuationSeparator" w:id="0">
    <w:p w14:paraId="73A82040" w14:textId="77777777" w:rsidR="00B34595" w:rsidRDefault="00B34595" w:rsidP="00B34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41BB" w14:textId="13CD747E" w:rsidR="00D74D51" w:rsidRDefault="00D74D51" w:rsidP="001D31FB">
    <w:pPr>
      <w:pStyle w:val="Head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7BC"/>
    <w:multiLevelType w:val="hybridMultilevel"/>
    <w:tmpl w:val="07546626"/>
    <w:lvl w:ilvl="0" w:tplc="393AD57C">
      <w:start w:val="1"/>
      <w:numFmt w:val="decimal"/>
      <w:lvlText w:val="4.%1"/>
      <w:lvlJc w:val="left"/>
      <w:pPr>
        <w:ind w:left="786" w:hanging="360"/>
      </w:pPr>
      <w:rPr>
        <w:rFonts w:hint="default"/>
        <w:b w:val="0"/>
        <w:bCs w:val="0"/>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6CB1846"/>
    <w:multiLevelType w:val="hybridMultilevel"/>
    <w:tmpl w:val="C7964CA0"/>
    <w:lvl w:ilvl="0" w:tplc="7DF495B0">
      <w:start w:val="1"/>
      <w:numFmt w:val="decimal"/>
      <w:lvlText w:val="2.%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507B78"/>
    <w:multiLevelType w:val="hybridMultilevel"/>
    <w:tmpl w:val="FFA0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F4617"/>
    <w:multiLevelType w:val="hybridMultilevel"/>
    <w:tmpl w:val="29A29C4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2D4B59E5"/>
    <w:multiLevelType w:val="multilevel"/>
    <w:tmpl w:val="EB4AF79C"/>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FA67C2"/>
    <w:multiLevelType w:val="hybridMultilevel"/>
    <w:tmpl w:val="7BEEF1DE"/>
    <w:lvl w:ilvl="0" w:tplc="409E6466">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004323"/>
    <w:multiLevelType w:val="hybridMultilevel"/>
    <w:tmpl w:val="D26298C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428076FE"/>
    <w:multiLevelType w:val="hybridMultilevel"/>
    <w:tmpl w:val="88885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66524"/>
    <w:multiLevelType w:val="hybridMultilevel"/>
    <w:tmpl w:val="884C4404"/>
    <w:lvl w:ilvl="0" w:tplc="0A0CBA5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073D2B"/>
    <w:multiLevelType w:val="hybridMultilevel"/>
    <w:tmpl w:val="1F22D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B24AEF"/>
    <w:multiLevelType w:val="hybridMultilevel"/>
    <w:tmpl w:val="6B3441DA"/>
    <w:lvl w:ilvl="0" w:tplc="B2A632EC">
      <w:start w:val="1"/>
      <w:numFmt w:val="decimal"/>
      <w:lvlText w:val="1.%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677654"/>
    <w:multiLevelType w:val="hybridMultilevel"/>
    <w:tmpl w:val="9BD2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A76D09"/>
    <w:multiLevelType w:val="hybridMultilevel"/>
    <w:tmpl w:val="17B0297E"/>
    <w:lvl w:ilvl="0" w:tplc="5E4AD62C">
      <w:start w:val="5"/>
      <w:numFmt w:val="bullet"/>
      <w:lvlText w:val="-"/>
      <w:lvlJc w:val="left"/>
      <w:pPr>
        <w:ind w:left="1920" w:hanging="360"/>
      </w:pPr>
      <w:rPr>
        <w:rFonts w:ascii="Arial" w:eastAsiaTheme="minorHAnsi" w:hAnsi="Arial" w:cs="Aria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3" w15:restartNumberingAfterBreak="0">
    <w:nsid w:val="7974225D"/>
    <w:multiLevelType w:val="hybridMultilevel"/>
    <w:tmpl w:val="80280C4C"/>
    <w:lvl w:ilvl="0" w:tplc="D1ECF44A">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8789716">
    <w:abstractNumId w:val="9"/>
  </w:num>
  <w:num w:numId="2" w16cid:durableId="361128451">
    <w:abstractNumId w:val="10"/>
  </w:num>
  <w:num w:numId="3" w16cid:durableId="1920481343">
    <w:abstractNumId w:val="1"/>
  </w:num>
  <w:num w:numId="4" w16cid:durableId="417285552">
    <w:abstractNumId w:val="7"/>
  </w:num>
  <w:num w:numId="5" w16cid:durableId="1115443011">
    <w:abstractNumId w:val="13"/>
  </w:num>
  <w:num w:numId="6" w16cid:durableId="1718967472">
    <w:abstractNumId w:val="3"/>
  </w:num>
  <w:num w:numId="7" w16cid:durableId="514807308">
    <w:abstractNumId w:val="2"/>
  </w:num>
  <w:num w:numId="8" w16cid:durableId="1311251549">
    <w:abstractNumId w:val="6"/>
  </w:num>
  <w:num w:numId="9" w16cid:durableId="836186485">
    <w:abstractNumId w:val="0"/>
  </w:num>
  <w:num w:numId="10" w16cid:durableId="1321545985">
    <w:abstractNumId w:val="12"/>
  </w:num>
  <w:num w:numId="11" w16cid:durableId="989553506">
    <w:abstractNumId w:val="4"/>
  </w:num>
  <w:num w:numId="12" w16cid:durableId="419831460">
    <w:abstractNumId w:val="5"/>
  </w:num>
  <w:num w:numId="13" w16cid:durableId="571351515">
    <w:abstractNumId w:val="8"/>
  </w:num>
  <w:num w:numId="14" w16cid:durableId="4484728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C"/>
    <w:rsid w:val="00194A74"/>
    <w:rsid w:val="001D31FB"/>
    <w:rsid w:val="00250706"/>
    <w:rsid w:val="002C77E8"/>
    <w:rsid w:val="008D325C"/>
    <w:rsid w:val="00B34595"/>
    <w:rsid w:val="00BA636F"/>
    <w:rsid w:val="00CD56FD"/>
    <w:rsid w:val="00D33A8C"/>
    <w:rsid w:val="00D42799"/>
    <w:rsid w:val="00D74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B0CD"/>
  <w15:chartTrackingRefBased/>
  <w15:docId w15:val="{8247F9F7-25A0-4C7E-A56A-9EAA7E73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A8C"/>
    <w:rPr>
      <w:kern w:val="0"/>
      <w14:ligatures w14:val="none"/>
    </w:rPr>
  </w:style>
  <w:style w:type="paragraph" w:styleId="Heading1">
    <w:name w:val="heading 1"/>
    <w:basedOn w:val="Normal"/>
    <w:next w:val="Normal"/>
    <w:link w:val="Heading1Char"/>
    <w:uiPriority w:val="9"/>
    <w:qFormat/>
    <w:rsid w:val="00D33A8C"/>
    <w:pPr>
      <w:keepNext/>
      <w:keepLines/>
      <w:spacing w:before="240" w:after="0"/>
      <w:outlineLvl w:val="0"/>
    </w:pPr>
    <w:rPr>
      <w:rFonts w:ascii="Arial" w:eastAsiaTheme="majorEastAsia" w:hAnsi="Arial" w:cstheme="majorBidi"/>
      <w:color w:val="1F3864" w:themeColor="accent1" w:themeShade="80"/>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A8C"/>
    <w:pPr>
      <w:ind w:left="720"/>
      <w:contextualSpacing/>
    </w:pPr>
  </w:style>
  <w:style w:type="character" w:customStyle="1" w:styleId="Heading1Char">
    <w:name w:val="Heading 1 Char"/>
    <w:basedOn w:val="DefaultParagraphFont"/>
    <w:link w:val="Heading1"/>
    <w:uiPriority w:val="9"/>
    <w:rsid w:val="00D33A8C"/>
    <w:rPr>
      <w:rFonts w:ascii="Arial" w:eastAsiaTheme="majorEastAsia" w:hAnsi="Arial" w:cstheme="majorBidi"/>
      <w:color w:val="1F3864" w:themeColor="accent1" w:themeShade="80"/>
      <w:kern w:val="0"/>
      <w:sz w:val="26"/>
      <w:szCs w:val="32"/>
      <w14:ligatures w14:val="none"/>
    </w:rPr>
  </w:style>
  <w:style w:type="table" w:customStyle="1" w:styleId="TableGrid1">
    <w:name w:val="Table Grid1"/>
    <w:basedOn w:val="TableNormal"/>
    <w:next w:val="TableGrid"/>
    <w:rsid w:val="00D33A8C"/>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33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636F"/>
    <w:rPr>
      <w:sz w:val="16"/>
      <w:szCs w:val="16"/>
    </w:rPr>
  </w:style>
  <w:style w:type="paragraph" w:styleId="CommentText">
    <w:name w:val="annotation text"/>
    <w:basedOn w:val="Normal"/>
    <w:link w:val="CommentTextChar"/>
    <w:uiPriority w:val="99"/>
    <w:unhideWhenUsed/>
    <w:rsid w:val="00BA636F"/>
    <w:pPr>
      <w:spacing w:line="240" w:lineRule="auto"/>
    </w:pPr>
    <w:rPr>
      <w:sz w:val="20"/>
      <w:szCs w:val="20"/>
    </w:rPr>
  </w:style>
  <w:style w:type="character" w:customStyle="1" w:styleId="CommentTextChar">
    <w:name w:val="Comment Text Char"/>
    <w:basedOn w:val="DefaultParagraphFont"/>
    <w:link w:val="CommentText"/>
    <w:uiPriority w:val="99"/>
    <w:rsid w:val="00BA636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A636F"/>
    <w:rPr>
      <w:b/>
      <w:bCs/>
    </w:rPr>
  </w:style>
  <w:style w:type="character" w:customStyle="1" w:styleId="CommentSubjectChar">
    <w:name w:val="Comment Subject Char"/>
    <w:basedOn w:val="CommentTextChar"/>
    <w:link w:val="CommentSubject"/>
    <w:uiPriority w:val="99"/>
    <w:semiHidden/>
    <w:rsid w:val="00BA636F"/>
    <w:rPr>
      <w:b/>
      <w:bCs/>
      <w:kern w:val="0"/>
      <w:sz w:val="20"/>
      <w:szCs w:val="20"/>
      <w14:ligatures w14:val="none"/>
    </w:rPr>
  </w:style>
  <w:style w:type="character" w:styleId="Hyperlink">
    <w:name w:val="Hyperlink"/>
    <w:basedOn w:val="DefaultParagraphFont"/>
    <w:uiPriority w:val="99"/>
    <w:unhideWhenUsed/>
    <w:rsid w:val="00B34595"/>
    <w:rPr>
      <w:color w:val="0563C1" w:themeColor="hyperlink"/>
      <w:u w:val="single"/>
    </w:rPr>
  </w:style>
  <w:style w:type="character" w:styleId="UnresolvedMention">
    <w:name w:val="Unresolved Mention"/>
    <w:basedOn w:val="DefaultParagraphFont"/>
    <w:uiPriority w:val="99"/>
    <w:semiHidden/>
    <w:unhideWhenUsed/>
    <w:rsid w:val="00B34595"/>
    <w:rPr>
      <w:color w:val="605E5C"/>
      <w:shd w:val="clear" w:color="auto" w:fill="E1DFDD"/>
    </w:rPr>
  </w:style>
  <w:style w:type="paragraph" w:styleId="Header">
    <w:name w:val="header"/>
    <w:basedOn w:val="Normal"/>
    <w:link w:val="HeaderChar"/>
    <w:uiPriority w:val="99"/>
    <w:unhideWhenUsed/>
    <w:rsid w:val="00B34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595"/>
    <w:rPr>
      <w:kern w:val="0"/>
      <w14:ligatures w14:val="none"/>
    </w:rPr>
  </w:style>
  <w:style w:type="paragraph" w:styleId="Footer">
    <w:name w:val="footer"/>
    <w:basedOn w:val="Normal"/>
    <w:link w:val="FooterChar"/>
    <w:uiPriority w:val="99"/>
    <w:unhideWhenUsed/>
    <w:rsid w:val="00B34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595"/>
    <w:rPr>
      <w:kern w:val="0"/>
      <w14:ligatures w14:val="none"/>
    </w:rPr>
  </w:style>
  <w:style w:type="paragraph" w:styleId="Revision">
    <w:name w:val="Revision"/>
    <w:hidden/>
    <w:uiPriority w:val="99"/>
    <w:semiHidden/>
    <w:rsid w:val="00194A7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2031</Words>
  <Characters>11580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Vinita Patel - CY SCS</dc:creator>
  <cp:keywords/>
  <dc:description/>
  <cp:lastModifiedBy>Anita Hiller - CY SCS</cp:lastModifiedBy>
  <cp:revision>2</cp:revision>
  <dcterms:created xsi:type="dcterms:W3CDTF">2023-12-04T20:42:00Z</dcterms:created>
  <dcterms:modified xsi:type="dcterms:W3CDTF">2023-12-04T20:42:00Z</dcterms:modified>
</cp:coreProperties>
</file>