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687" w:tblpY="920"/>
        <w:tblW w:w="5000" w:type="pct"/>
        <w:tblLook w:val="04A0" w:firstRow="1" w:lastRow="0" w:firstColumn="1" w:lastColumn="0" w:noHBand="0" w:noVBand="1"/>
      </w:tblPr>
      <w:tblGrid>
        <w:gridCol w:w="2430"/>
        <w:gridCol w:w="16759"/>
      </w:tblGrid>
      <w:tr w:rsidR="007E627D" w:rsidRPr="00AB23C3" w14:paraId="30509355" w14:textId="77777777" w:rsidTr="37065537">
        <w:trPr>
          <w:trHeight w:val="455"/>
        </w:trPr>
        <w:tc>
          <w:tcPr>
            <w:tcW w:w="5000" w:type="pct"/>
            <w:gridSpan w:val="2"/>
          </w:tcPr>
          <w:p w14:paraId="34C1749B" w14:textId="77777777" w:rsidR="007E627D" w:rsidRPr="0047242D" w:rsidRDefault="007E627D" w:rsidP="0047242D">
            <w:pPr>
              <w:tabs>
                <w:tab w:val="left" w:pos="2730"/>
                <w:tab w:val="center" w:pos="4638"/>
              </w:tabs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242D">
              <w:rPr>
                <w:rFonts w:ascii="Arial" w:hAnsi="Arial" w:cs="Arial"/>
                <w:b/>
                <w:bCs/>
                <w:sz w:val="24"/>
                <w:szCs w:val="24"/>
              </w:rPr>
              <w:t>Multi-Agency Child Exploitation (MACE) Risk Assessment (victims)</w:t>
            </w:r>
          </w:p>
        </w:tc>
      </w:tr>
      <w:tr w:rsidR="007E627D" w:rsidRPr="00AB23C3" w14:paraId="609EB10A" w14:textId="77777777" w:rsidTr="37065537">
        <w:trPr>
          <w:trHeight w:val="455"/>
        </w:trPr>
        <w:tc>
          <w:tcPr>
            <w:tcW w:w="5000" w:type="pct"/>
            <w:gridSpan w:val="2"/>
          </w:tcPr>
          <w:p w14:paraId="55DECBE8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>Assessment of risk should always include exploration and understanding of the positive factors that reduce/mitigate the risks, for example parents/carers understanding and or response to the exploitation, support networks, access to safe spaces, and relationships with professionals.</w:t>
            </w:r>
          </w:p>
          <w:p w14:paraId="6AF4508B" w14:textId="70609C44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61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MACE is not an emergency response </w:t>
            </w:r>
            <w:r w:rsidR="00E46F8B" w:rsidRPr="001561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mechanism,</w:t>
            </w:r>
            <w:r w:rsidRPr="001561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and it does not replace existing child protection procedures or individual case planning.</w:t>
            </w:r>
          </w:p>
        </w:tc>
      </w:tr>
      <w:tr w:rsidR="007E627D" w:rsidRPr="00AB23C3" w14:paraId="7E97299D" w14:textId="77777777" w:rsidTr="37065537">
        <w:trPr>
          <w:trHeight w:val="300"/>
        </w:trPr>
        <w:tc>
          <w:tcPr>
            <w:tcW w:w="633" w:type="pct"/>
          </w:tcPr>
          <w:p w14:paraId="670BB3B7" w14:textId="77777777" w:rsidR="007E627D" w:rsidRPr="0015613B" w:rsidRDefault="007E627D" w:rsidP="0047242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13B">
              <w:rPr>
                <w:rFonts w:ascii="Arial" w:hAnsi="Arial" w:cs="Arial"/>
                <w:b/>
                <w:bCs/>
                <w:sz w:val="24"/>
                <w:szCs w:val="24"/>
              </w:rPr>
              <w:t>Risk Level</w:t>
            </w:r>
          </w:p>
        </w:tc>
        <w:tc>
          <w:tcPr>
            <w:tcW w:w="4367" w:type="pct"/>
          </w:tcPr>
          <w:p w14:paraId="46FA6A64" w14:textId="477AB80C" w:rsidR="007E627D" w:rsidRPr="0015613B" w:rsidRDefault="007E627D" w:rsidP="0047242D">
            <w:pPr>
              <w:tabs>
                <w:tab w:val="left" w:pos="2730"/>
                <w:tab w:val="center" w:pos="4638"/>
              </w:tabs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13B">
              <w:rPr>
                <w:rFonts w:ascii="Arial" w:hAnsi="Arial" w:cs="Arial"/>
                <w:b/>
                <w:bCs/>
                <w:sz w:val="24"/>
                <w:szCs w:val="24"/>
              </w:rPr>
              <w:t>Definition</w:t>
            </w:r>
          </w:p>
        </w:tc>
      </w:tr>
      <w:tr w:rsidR="007E627D" w:rsidRPr="00AB23C3" w14:paraId="5F4997BD" w14:textId="77777777" w:rsidTr="37065537">
        <w:tc>
          <w:tcPr>
            <w:tcW w:w="633" w:type="pct"/>
            <w:shd w:val="clear" w:color="auto" w:fill="auto"/>
          </w:tcPr>
          <w:p w14:paraId="08247130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13B">
              <w:rPr>
                <w:rFonts w:ascii="Arial" w:hAnsi="Arial" w:cs="Arial"/>
                <w:b/>
                <w:bCs/>
                <w:sz w:val="24"/>
                <w:szCs w:val="24"/>
              </w:rPr>
              <w:t>Low/Minimal</w:t>
            </w:r>
          </w:p>
        </w:tc>
        <w:tc>
          <w:tcPr>
            <w:tcW w:w="4367" w:type="pct"/>
            <w:shd w:val="clear" w:color="auto" w:fill="auto"/>
          </w:tcPr>
          <w:p w14:paraId="7F03BE6B" w14:textId="55978F7A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>All children/ young people, by the definition of their age and associated vulnerabilities are at risk of exploitation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>Presenting factors/vulnerabilities indicate the child/ young person is unlikely to be at an increased risk of exploitation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 xml:space="preserve">Concerns relate to behaviours associated with </w:t>
            </w:r>
            <w:r w:rsidR="00E46F8B" w:rsidRPr="0015613B">
              <w:rPr>
                <w:rFonts w:ascii="Arial" w:hAnsi="Arial" w:cs="Arial"/>
                <w:sz w:val="24"/>
                <w:szCs w:val="24"/>
              </w:rPr>
              <w:t>age-appropriate</w:t>
            </w:r>
            <w:r w:rsidRPr="0015613B">
              <w:rPr>
                <w:rFonts w:ascii="Arial" w:hAnsi="Arial" w:cs="Arial"/>
                <w:sz w:val="24"/>
                <w:szCs w:val="24"/>
              </w:rPr>
              <w:t xml:space="preserve"> child/ young person's behaviour. </w:t>
            </w:r>
          </w:p>
          <w:p w14:paraId="4DAD1810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b/>
                <w:sz w:val="24"/>
                <w:szCs w:val="24"/>
              </w:rPr>
              <w:t xml:space="preserve">Suggested Pre-Screening/MACE Response: </w:t>
            </w:r>
            <w:r w:rsidRPr="0015613B">
              <w:rPr>
                <w:rFonts w:ascii="Arial" w:hAnsi="Arial" w:cs="Arial"/>
                <w:sz w:val="24"/>
                <w:szCs w:val="24"/>
              </w:rPr>
              <w:t>Completed CE Screening Tool's where risk is rated as low/minimal should not be submitted to CE Missing for pre-screening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 xml:space="preserve">Where screening tools have been submitted, and where, following information exchange and discussions, the risk remains low, these will not progress to a MACE meeting. </w:t>
            </w:r>
          </w:p>
          <w:p w14:paraId="6607EC8A" w14:textId="4007649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The Pre-Screening meeting outcome will include advice and guidance to the professional who has completed the CE Screening tool </w:t>
            </w:r>
            <w:r w:rsidR="00E46F8B" w:rsidRPr="0015613B">
              <w:rPr>
                <w:rFonts w:ascii="Arial" w:hAnsi="Arial" w:cs="Arial"/>
                <w:sz w:val="24"/>
                <w:szCs w:val="24"/>
              </w:rPr>
              <w:t>regarding</w:t>
            </w:r>
            <w:r w:rsidRPr="0015613B">
              <w:rPr>
                <w:rFonts w:ascii="Arial" w:hAnsi="Arial" w:cs="Arial"/>
                <w:sz w:val="24"/>
                <w:szCs w:val="24"/>
              </w:rPr>
              <w:t xml:space="preserve"> next steps, including signposting to relevant support and resources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 xml:space="preserve">All parents/ carers and young people should </w:t>
            </w:r>
            <w:r w:rsidR="00E46F8B" w:rsidRPr="0015613B">
              <w:rPr>
                <w:rFonts w:ascii="Arial" w:hAnsi="Arial" w:cs="Arial"/>
                <w:sz w:val="24"/>
                <w:szCs w:val="24"/>
              </w:rPr>
              <w:t>understand</w:t>
            </w:r>
            <w:r w:rsidRPr="0015613B">
              <w:rPr>
                <w:rFonts w:ascii="Arial" w:hAnsi="Arial" w:cs="Arial"/>
                <w:sz w:val="24"/>
                <w:szCs w:val="24"/>
              </w:rPr>
              <w:t xml:space="preserve"> exploitation.  The provision of Information, advice and resources for young people, parents and professionals will increase understanding and confidence in identifying and responding to signs of exploitation. </w:t>
            </w:r>
          </w:p>
          <w:p w14:paraId="590A6131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The Children's Society </w:t>
            </w:r>
            <w:hyperlink r:id="rId11" w:history="1">
              <w:r w:rsidRPr="0015613B">
                <w:rPr>
                  <w:rFonts w:ascii="Arial" w:hAnsi="Arial" w:cs="Arial"/>
                  <w:color w:val="0000FF" w:themeColor="hyperlink"/>
                  <w:sz w:val="24"/>
                  <w:szCs w:val="24"/>
                  <w:u w:val="single"/>
                </w:rPr>
                <w:t>https://www.childrenssociety.org.uk</w:t>
              </w:r>
            </w:hyperlink>
          </w:p>
          <w:p w14:paraId="7E3F86B0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The NSPCC </w:t>
            </w:r>
            <w:hyperlink r:id="rId12" w:history="1">
              <w:r w:rsidRPr="0015613B">
                <w:rPr>
                  <w:rFonts w:ascii="Arial" w:hAnsi="Arial" w:cs="Arial"/>
                  <w:color w:val="0000FF" w:themeColor="hyperlink"/>
                  <w:sz w:val="24"/>
                  <w:szCs w:val="24"/>
                  <w:u w:val="single"/>
                </w:rPr>
                <w:t>https://www.nspcc.org.uk</w:t>
              </w:r>
            </w:hyperlink>
            <w:r w:rsidRPr="001561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1F11BC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Childline </w:t>
            </w:r>
            <w:hyperlink r:id="rId13" w:history="1">
              <w:r w:rsidRPr="0015613B">
                <w:rPr>
                  <w:rFonts w:ascii="Arial" w:hAnsi="Arial" w:cs="Arial"/>
                  <w:color w:val="0000FF" w:themeColor="hyperlink"/>
                  <w:sz w:val="24"/>
                  <w:szCs w:val="24"/>
                  <w:u w:val="single"/>
                </w:rPr>
                <w:t>https://www.childline.org.uk</w:t>
              </w:r>
            </w:hyperlink>
          </w:p>
          <w:p w14:paraId="50F8469E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Act on it Now </w:t>
            </w:r>
            <w:hyperlink r:id="rId14" w:history="1">
              <w:r w:rsidRPr="0015613B">
                <w:rPr>
                  <w:rFonts w:ascii="Arial" w:hAnsi="Arial" w:cs="Arial"/>
                  <w:color w:val="0000FF" w:themeColor="hyperlink"/>
                  <w:sz w:val="24"/>
                  <w:szCs w:val="24"/>
                  <w:u w:val="single"/>
                </w:rPr>
                <w:t>https://www.actonitnow.co.uk</w:t>
              </w:r>
            </w:hyperlink>
          </w:p>
          <w:p w14:paraId="5FB9F5C3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Think You Know </w:t>
            </w:r>
            <w:hyperlink r:id="rId15" w:history="1">
              <w:r w:rsidRPr="0015613B">
                <w:rPr>
                  <w:rFonts w:ascii="Arial" w:hAnsi="Arial" w:cs="Arial"/>
                  <w:color w:val="0000FF" w:themeColor="hyperlink"/>
                  <w:sz w:val="24"/>
                  <w:szCs w:val="24"/>
                  <w:u w:val="single"/>
                </w:rPr>
                <w:t>https://www.thinkuknow.co.uk</w:t>
              </w:r>
            </w:hyperlink>
            <w:r w:rsidRPr="001561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1615EC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Family Lives </w:t>
            </w:r>
            <w:hyperlink r:id="rId16" w:history="1">
              <w:r w:rsidRPr="0015613B">
                <w:rPr>
                  <w:rFonts w:ascii="Arial" w:hAnsi="Arial" w:cs="Arial"/>
                  <w:color w:val="0000FF" w:themeColor="hyperlink"/>
                  <w:sz w:val="24"/>
                  <w:szCs w:val="24"/>
                  <w:u w:val="single"/>
                </w:rPr>
                <w:t>https://www.familylives.org.uk</w:t>
              </w:r>
            </w:hyperlink>
          </w:p>
          <w:p w14:paraId="10C3DF37" w14:textId="5B3B30FF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>Practitioners should remain alert to emerging risks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 xml:space="preserve">Where CE screening indicates the presence of </w:t>
            </w:r>
            <w:r w:rsidR="00F35A92" w:rsidRPr="0015613B">
              <w:rPr>
                <w:rFonts w:ascii="Arial" w:hAnsi="Arial" w:cs="Arial"/>
                <w:sz w:val="24"/>
                <w:szCs w:val="24"/>
              </w:rPr>
              <w:t>minimal risk</w:t>
            </w:r>
            <w:r w:rsidRPr="0015613B">
              <w:rPr>
                <w:rFonts w:ascii="Arial" w:hAnsi="Arial" w:cs="Arial"/>
                <w:sz w:val="24"/>
                <w:szCs w:val="24"/>
              </w:rPr>
              <w:t xml:space="preserve">, cases should continue to be monitored by managers and be subject to regular review.  </w:t>
            </w:r>
          </w:p>
        </w:tc>
      </w:tr>
      <w:tr w:rsidR="007E627D" w:rsidRPr="00AB23C3" w14:paraId="18499289" w14:textId="77777777" w:rsidTr="37065537">
        <w:tc>
          <w:tcPr>
            <w:tcW w:w="633" w:type="pct"/>
          </w:tcPr>
          <w:p w14:paraId="254F25B2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Standard/Emerging  </w:t>
            </w:r>
          </w:p>
        </w:tc>
        <w:tc>
          <w:tcPr>
            <w:tcW w:w="4367" w:type="pct"/>
          </w:tcPr>
          <w:p w14:paraId="6865F70D" w14:textId="2E7A3046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>Presenting factors indicate that the child/ young person is at increased risk of being targeted</w:t>
            </w:r>
            <w:r w:rsidR="00F35A92">
              <w:rPr>
                <w:rFonts w:ascii="Arial" w:hAnsi="Arial" w:cs="Arial"/>
                <w:sz w:val="24"/>
                <w:szCs w:val="24"/>
              </w:rPr>
              <w:t xml:space="preserve"> and/ or </w:t>
            </w:r>
            <w:r w:rsidRPr="0015613B">
              <w:rPr>
                <w:rFonts w:ascii="Arial" w:hAnsi="Arial" w:cs="Arial"/>
                <w:sz w:val="24"/>
                <w:szCs w:val="24"/>
              </w:rPr>
              <w:t>groomed for the purposes of exploitation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 xml:space="preserve">There are strong warning signs and multiple indicators leading to a suspicion of exploitation but there is no identified perpetrator.  </w:t>
            </w:r>
          </w:p>
          <w:p w14:paraId="2AC3A250" w14:textId="7FFD6AFE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There may be indications that the child/ young person has been targeted/groomed and/or previously exploited.  There has been an appropriate response to the exploitation from family and/ or professionals to reduce the likelihood of further abuse. </w:t>
            </w:r>
          </w:p>
          <w:p w14:paraId="2E36A2D1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b/>
                <w:sz w:val="24"/>
                <w:szCs w:val="24"/>
              </w:rPr>
              <w:t xml:space="preserve">Suggested Pre-Screening/MACE Response: </w:t>
            </w:r>
            <w:r w:rsidRPr="0015613B">
              <w:rPr>
                <w:rFonts w:ascii="Arial" w:hAnsi="Arial" w:cs="Arial"/>
                <w:sz w:val="24"/>
                <w:szCs w:val="24"/>
              </w:rPr>
              <w:t xml:space="preserve">Would </w:t>
            </w:r>
            <w:r w:rsidRPr="0015613B">
              <w:rPr>
                <w:rFonts w:ascii="Arial" w:hAnsi="Arial" w:cs="Arial"/>
                <w:b/>
                <w:sz w:val="24"/>
                <w:szCs w:val="24"/>
              </w:rPr>
              <w:t xml:space="preserve">not </w:t>
            </w:r>
            <w:r w:rsidRPr="0015613B">
              <w:rPr>
                <w:rFonts w:ascii="Arial" w:hAnsi="Arial" w:cs="Arial"/>
                <w:sz w:val="24"/>
                <w:szCs w:val="24"/>
              </w:rPr>
              <w:t>normally progress to MACE.  There is an expectation that the level of concern/risk will be managed through current support/intervention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>The Pre-Screening meeting outcome will include advice and guidance to the professional who completed the CE Screening tool regarding next steps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>This may include a request for further exploration of specific concerns and/or the gathering of additional information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 xml:space="preserve">Any updated screening tools will be reviewed at the next Pre-Screening meeting.  </w:t>
            </w:r>
          </w:p>
          <w:p w14:paraId="0110F7E8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>Actions to reduce/manage emerging risks should continue through usual case work.</w:t>
            </w:r>
          </w:p>
          <w:p w14:paraId="030339CE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Where concerns are not CE related, agencies should use the usual referral process either to social care or early help. </w:t>
            </w:r>
          </w:p>
          <w:p w14:paraId="2DCD41FF" w14:textId="73D200EA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>Where cases are not at a level for pre-screening consider completing an Early Help Assessment to identify additional support required.</w:t>
            </w:r>
          </w:p>
          <w:p w14:paraId="36698E6B" w14:textId="77777777" w:rsidR="007E627D" w:rsidRPr="0015613B" w:rsidRDefault="00000000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7E627D" w:rsidRPr="0015613B">
                <w:rPr>
                  <w:rFonts w:ascii="Arial" w:hAnsi="Arial" w:cs="Arial"/>
                  <w:color w:val="0000FF" w:themeColor="hyperlink"/>
                  <w:sz w:val="24"/>
                  <w:szCs w:val="24"/>
                  <w:u w:val="single"/>
                </w:rPr>
                <w:t>https://professionals.lincolnshire.gov.uk/team-around-child</w:t>
              </w:r>
            </w:hyperlink>
          </w:p>
          <w:p w14:paraId="53D38670" w14:textId="484CFFCD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>Practitioners should remain alert to emerging risks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 xml:space="preserve">Where CE screening indicates the presence of standard/emerging risk, cases should continue to be monitored by managers and be subject to regular review.  </w:t>
            </w:r>
          </w:p>
        </w:tc>
      </w:tr>
      <w:tr w:rsidR="007E627D" w:rsidRPr="00AB23C3" w14:paraId="30616C44" w14:textId="77777777" w:rsidTr="37065537">
        <w:tc>
          <w:tcPr>
            <w:tcW w:w="633" w:type="pct"/>
          </w:tcPr>
          <w:p w14:paraId="598759A0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13B">
              <w:rPr>
                <w:rFonts w:ascii="Arial" w:hAnsi="Arial" w:cs="Arial"/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4367" w:type="pct"/>
            <w:shd w:val="clear" w:color="auto" w:fill="auto"/>
          </w:tcPr>
          <w:p w14:paraId="38863062" w14:textId="53E010F0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>Presenting factors indicate that the child/ young person may currently be being targeted/ groomed for the purposes of exploitation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 xml:space="preserve">The child/young person does not/cannot recognise the risk.  </w:t>
            </w:r>
          </w:p>
          <w:p w14:paraId="0EFAF09A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>A child/young person is at risk of future exploitation and suspected to be in direct/indirect physical/sexual contact with at least one or multiple perpetrators (older adults, peers online/offline).</w:t>
            </w:r>
          </w:p>
          <w:p w14:paraId="4BED04FC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If a child meets the definition of medium risk and is 13 or under and/ or has additional needs and or a learning disability, they should be assessed as High risk. </w:t>
            </w:r>
          </w:p>
          <w:p w14:paraId="5EE5047F" w14:textId="7474D9B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b/>
                <w:sz w:val="24"/>
                <w:szCs w:val="24"/>
              </w:rPr>
              <w:t xml:space="preserve">Suggested Pre-Screening/MACE Responses: </w:t>
            </w:r>
            <w:r w:rsidRPr="0015613B">
              <w:rPr>
                <w:rFonts w:ascii="Arial" w:hAnsi="Arial" w:cs="Arial"/>
                <w:sz w:val="24"/>
                <w:szCs w:val="24"/>
              </w:rPr>
              <w:t>Progress to MACE unless support for the victim and targeting and disruption of perpetrators/ locations of concern is already in place and there is no role for MACE.</w:t>
            </w:r>
          </w:p>
          <w:p w14:paraId="12EA6AE2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Where support is in place actions to reduce/manage risk should continue through usual case work. </w:t>
            </w:r>
          </w:p>
          <w:p w14:paraId="678F07A8" w14:textId="4CFE47D2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>There is a responsibility placed on all MACE core panel members to review all pre-screening decisions on notification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>Additional information should be submitted if it is felt the case should progress to a MACE meeting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</w:p>
        </w:tc>
      </w:tr>
      <w:tr w:rsidR="007E627D" w:rsidRPr="00AB23C3" w14:paraId="3341351E" w14:textId="77777777" w:rsidTr="37065537">
        <w:tc>
          <w:tcPr>
            <w:tcW w:w="633" w:type="pct"/>
          </w:tcPr>
          <w:p w14:paraId="248335D6" w14:textId="52160FCA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13B">
              <w:rPr>
                <w:rFonts w:ascii="Arial" w:hAnsi="Arial" w:cs="Arial"/>
                <w:b/>
                <w:bCs/>
                <w:sz w:val="24"/>
                <w:szCs w:val="24"/>
              </w:rPr>
              <w:t>High/Experiencing Significant Harm</w:t>
            </w:r>
          </w:p>
        </w:tc>
        <w:tc>
          <w:tcPr>
            <w:tcW w:w="4367" w:type="pct"/>
          </w:tcPr>
          <w:p w14:paraId="58B51102" w14:textId="17D8E621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Presenting factors indicate the child/ young person is being exploited and it is suspected that this is repeated and </w:t>
            </w:r>
            <w:r w:rsidR="0047242D" w:rsidRPr="0015613B">
              <w:rPr>
                <w:rFonts w:ascii="Arial" w:hAnsi="Arial" w:cs="Arial"/>
                <w:sz w:val="24"/>
                <w:szCs w:val="24"/>
              </w:rPr>
              <w:t>regular</w:t>
            </w:r>
            <w:proofErr w:type="gramStart"/>
            <w:r w:rsidR="0047242D"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="0047242D" w:rsidRPr="0015613B">
              <w:rPr>
                <w:rFonts w:ascii="Arial" w:hAnsi="Arial" w:cs="Arial"/>
                <w:sz w:val="24"/>
                <w:szCs w:val="24"/>
              </w:rPr>
              <w:t>Often</w:t>
            </w:r>
            <w:r w:rsidRPr="0015613B">
              <w:rPr>
                <w:rFonts w:ascii="Arial" w:hAnsi="Arial" w:cs="Arial"/>
                <w:sz w:val="24"/>
                <w:szCs w:val="24"/>
              </w:rPr>
              <w:t xml:space="preserve"> the child/young person cannot recognise the risk, however the likelihood of continued exploitation remains high.  </w:t>
            </w:r>
          </w:p>
          <w:p w14:paraId="355A5165" w14:textId="7777777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>It is suspected that the child/young person is in direct/indirect physical/sexual contact with one or multiple perpetrators (older adults, peers)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 xml:space="preserve">Coercion or control is likely to be present. </w:t>
            </w:r>
            <w:r w:rsidRPr="001561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4F15719" w14:textId="7F9DEDB0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b/>
                <w:sz w:val="24"/>
                <w:szCs w:val="24"/>
              </w:rPr>
              <w:t xml:space="preserve">Suggested </w:t>
            </w:r>
            <w:r w:rsidR="00E46F8B" w:rsidRPr="0015613B">
              <w:rPr>
                <w:rFonts w:ascii="Arial" w:hAnsi="Arial" w:cs="Arial"/>
                <w:b/>
                <w:sz w:val="24"/>
                <w:szCs w:val="24"/>
              </w:rPr>
              <w:t>Pre-Screening</w:t>
            </w:r>
            <w:r w:rsidRPr="0015613B">
              <w:rPr>
                <w:rFonts w:ascii="Arial" w:hAnsi="Arial" w:cs="Arial"/>
                <w:b/>
                <w:sz w:val="24"/>
                <w:szCs w:val="24"/>
              </w:rPr>
              <w:t>/MACE Responses:</w:t>
            </w:r>
            <w:r w:rsidRPr="0015613B">
              <w:rPr>
                <w:rFonts w:ascii="Arial" w:hAnsi="Arial" w:cs="Arial"/>
                <w:sz w:val="24"/>
                <w:szCs w:val="24"/>
              </w:rPr>
              <w:t xml:space="preserve"> Progress to MACE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>Focus will be on the disruption of perpetrators and management of locations connected to exploitation.</w:t>
            </w:r>
          </w:p>
          <w:p w14:paraId="19A737E5" w14:textId="6EDE0CE7" w:rsidR="007E627D" w:rsidRPr="0015613B" w:rsidRDefault="007E627D" w:rsidP="0047242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 xml:space="preserve">If at the initial MACE meeting it is agreed that the appropriate support for the victim is in place and the targeting and disruption of perpetrators/ locations of concern is </w:t>
            </w:r>
            <w:r w:rsidR="0047242D" w:rsidRPr="0015613B">
              <w:rPr>
                <w:rFonts w:ascii="Arial" w:hAnsi="Arial" w:cs="Arial"/>
                <w:sz w:val="24"/>
                <w:szCs w:val="24"/>
              </w:rPr>
              <w:t>underway,</w:t>
            </w:r>
            <w:r w:rsidRPr="0015613B">
              <w:rPr>
                <w:rFonts w:ascii="Arial" w:hAnsi="Arial" w:cs="Arial"/>
                <w:sz w:val="24"/>
                <w:szCs w:val="24"/>
              </w:rPr>
              <w:t xml:space="preserve"> then the case will be discharged from MACE. </w:t>
            </w:r>
          </w:p>
          <w:p w14:paraId="19197961" w14:textId="3EEECDA9" w:rsidR="007E627D" w:rsidRPr="0015613B" w:rsidRDefault="007E627D" w:rsidP="0047242D">
            <w:pPr>
              <w:tabs>
                <w:tab w:val="left" w:pos="1752"/>
              </w:tabs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5613B">
              <w:rPr>
                <w:rFonts w:ascii="Arial" w:hAnsi="Arial" w:cs="Arial"/>
                <w:sz w:val="24"/>
                <w:szCs w:val="24"/>
              </w:rPr>
              <w:t>Discharge from MACE should not be taken as proof that risk has been addressed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>Cases should continue to be monitored by managers and subject to regular review</w:t>
            </w:r>
            <w:proofErr w:type="gramStart"/>
            <w:r w:rsidRPr="001561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15613B">
              <w:rPr>
                <w:rFonts w:ascii="Arial" w:hAnsi="Arial" w:cs="Arial"/>
                <w:sz w:val="24"/>
                <w:szCs w:val="24"/>
              </w:rPr>
              <w:t>Any new information should be submitted to pre-screening for further consideration.</w:t>
            </w:r>
          </w:p>
        </w:tc>
      </w:tr>
    </w:tbl>
    <w:p w14:paraId="679F9B89" w14:textId="77777777" w:rsidR="00021BBD" w:rsidRPr="00AB23C3" w:rsidRDefault="00021BBD">
      <w:pPr>
        <w:rPr>
          <w:rFonts w:ascii="Arial" w:hAnsi="Arial" w:cs="Arial"/>
          <w:sz w:val="16"/>
          <w:szCs w:val="16"/>
        </w:rPr>
      </w:pPr>
    </w:p>
    <w:sectPr w:rsidR="00021BBD" w:rsidRPr="00AB23C3" w:rsidSect="0047242D">
      <w:headerReference w:type="default" r:id="rId18"/>
      <w:footerReference w:type="default" r:id="rId19"/>
      <w:pgSz w:w="20639" w:h="29201" w:code="30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E802" w14:textId="77777777" w:rsidR="00D02F9B" w:rsidRDefault="00D02F9B" w:rsidP="00B07039">
      <w:pPr>
        <w:spacing w:after="0" w:line="240" w:lineRule="auto"/>
      </w:pPr>
      <w:r>
        <w:separator/>
      </w:r>
    </w:p>
  </w:endnote>
  <w:endnote w:type="continuationSeparator" w:id="0">
    <w:p w14:paraId="71688344" w14:textId="77777777" w:rsidR="00D02F9B" w:rsidRDefault="00D02F9B" w:rsidP="00B0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DB97" w14:textId="08AB01E6" w:rsidR="007E627D" w:rsidRDefault="0015613B">
    <w:pPr>
      <w:pStyle w:val="Footer"/>
    </w:pPr>
    <w:r>
      <w:t xml:space="preserve">September 2022 </w:t>
    </w:r>
    <w:r>
      <w:tab/>
    </w:r>
    <w:r>
      <w:tab/>
    </w:r>
    <w:r>
      <w:tab/>
    </w:r>
    <w:sdt>
      <w:sdtPr>
        <w:id w:val="6527209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E627D">
          <w:fldChar w:fldCharType="begin"/>
        </w:r>
        <w:r w:rsidR="007E627D">
          <w:instrText xml:space="preserve"> PAGE   \* MERGEFORMAT </w:instrText>
        </w:r>
        <w:r w:rsidR="007E627D">
          <w:fldChar w:fldCharType="separate"/>
        </w:r>
        <w:r w:rsidR="007E627D">
          <w:rPr>
            <w:noProof/>
          </w:rPr>
          <w:t>2</w:t>
        </w:r>
        <w:r w:rsidR="007E627D">
          <w:rPr>
            <w:noProof/>
          </w:rPr>
          <w:fldChar w:fldCharType="end"/>
        </w:r>
      </w:sdtContent>
    </w:sdt>
  </w:p>
  <w:p w14:paraId="2B0DF9C3" w14:textId="46189C0C" w:rsidR="00C82465" w:rsidRDefault="00C82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59DA" w14:textId="77777777" w:rsidR="00D02F9B" w:rsidRDefault="00D02F9B" w:rsidP="00B07039">
      <w:pPr>
        <w:spacing w:after="0" w:line="240" w:lineRule="auto"/>
      </w:pPr>
      <w:r>
        <w:separator/>
      </w:r>
    </w:p>
  </w:footnote>
  <w:footnote w:type="continuationSeparator" w:id="0">
    <w:p w14:paraId="30B1BD38" w14:textId="77777777" w:rsidR="00D02F9B" w:rsidRDefault="00D02F9B" w:rsidP="00B0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D295" w14:textId="20A2835F" w:rsidR="007E627D" w:rsidRDefault="007E627D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F2C20CF" wp14:editId="41F22301">
          <wp:simplePos x="0" y="0"/>
          <wp:positionH relativeFrom="column">
            <wp:posOffset>10095865</wp:posOffset>
          </wp:positionH>
          <wp:positionV relativeFrom="paragraph">
            <wp:posOffset>-383540</wp:posOffset>
          </wp:positionV>
          <wp:extent cx="1794510" cy="956310"/>
          <wp:effectExtent l="0" t="0" r="0" b="0"/>
          <wp:wrapTight wrapText="bothSides">
            <wp:wrapPolygon edited="0">
              <wp:start x="0" y="0"/>
              <wp:lineTo x="0" y="21084"/>
              <wp:lineTo x="21325" y="21084"/>
              <wp:lineTo x="21325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6C47" w:rsidRPr="007E627D">
      <w:rPr>
        <w:sz w:val="36"/>
        <w:szCs w:val="36"/>
      </w:rPr>
      <w:t>MACE Risk Levels</w:t>
    </w:r>
  </w:p>
  <w:p w14:paraId="5C321848" w14:textId="03C654ED" w:rsidR="00B07039" w:rsidRDefault="00646C47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3D4"/>
    <w:multiLevelType w:val="hybridMultilevel"/>
    <w:tmpl w:val="E5BE5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3283"/>
    <w:multiLevelType w:val="multilevel"/>
    <w:tmpl w:val="1978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8A0480"/>
    <w:multiLevelType w:val="hybridMultilevel"/>
    <w:tmpl w:val="4AC02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F19F8"/>
    <w:multiLevelType w:val="hybridMultilevel"/>
    <w:tmpl w:val="6A5A5668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EE20CC7"/>
    <w:multiLevelType w:val="hybridMultilevel"/>
    <w:tmpl w:val="511A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2CD1"/>
    <w:multiLevelType w:val="hybridMultilevel"/>
    <w:tmpl w:val="2132C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13595"/>
    <w:multiLevelType w:val="hybridMultilevel"/>
    <w:tmpl w:val="6F768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262CA"/>
    <w:multiLevelType w:val="hybridMultilevel"/>
    <w:tmpl w:val="69846D02"/>
    <w:lvl w:ilvl="0" w:tplc="99C8F6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65131"/>
    <w:multiLevelType w:val="hybridMultilevel"/>
    <w:tmpl w:val="3B98C7D4"/>
    <w:lvl w:ilvl="0" w:tplc="B6405E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A7777"/>
    <w:multiLevelType w:val="hybridMultilevel"/>
    <w:tmpl w:val="78BE6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2524B"/>
    <w:multiLevelType w:val="hybridMultilevel"/>
    <w:tmpl w:val="5840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06DBC"/>
    <w:multiLevelType w:val="hybridMultilevel"/>
    <w:tmpl w:val="3850C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3009E"/>
    <w:multiLevelType w:val="hybridMultilevel"/>
    <w:tmpl w:val="07BE5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8313C"/>
    <w:multiLevelType w:val="hybridMultilevel"/>
    <w:tmpl w:val="14404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C5808"/>
    <w:multiLevelType w:val="hybridMultilevel"/>
    <w:tmpl w:val="F96C3494"/>
    <w:lvl w:ilvl="0" w:tplc="B6405E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F4BF7"/>
    <w:multiLevelType w:val="hybridMultilevel"/>
    <w:tmpl w:val="2B70D992"/>
    <w:lvl w:ilvl="0" w:tplc="BABA223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A1666"/>
    <w:multiLevelType w:val="hybridMultilevel"/>
    <w:tmpl w:val="2D101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73474"/>
    <w:multiLevelType w:val="multilevel"/>
    <w:tmpl w:val="055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B8061E"/>
    <w:multiLevelType w:val="hybridMultilevel"/>
    <w:tmpl w:val="D3109C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8433640">
    <w:abstractNumId w:val="15"/>
  </w:num>
  <w:num w:numId="2" w16cid:durableId="1699815776">
    <w:abstractNumId w:val="11"/>
  </w:num>
  <w:num w:numId="3" w16cid:durableId="165243357">
    <w:abstractNumId w:val="13"/>
  </w:num>
  <w:num w:numId="4" w16cid:durableId="1114784211">
    <w:abstractNumId w:val="5"/>
  </w:num>
  <w:num w:numId="5" w16cid:durableId="1807043848">
    <w:abstractNumId w:val="17"/>
  </w:num>
  <w:num w:numId="6" w16cid:durableId="1775322888">
    <w:abstractNumId w:val="7"/>
  </w:num>
  <w:num w:numId="7" w16cid:durableId="1829203449">
    <w:abstractNumId w:val="14"/>
  </w:num>
  <w:num w:numId="8" w16cid:durableId="697237964">
    <w:abstractNumId w:val="1"/>
  </w:num>
  <w:num w:numId="9" w16cid:durableId="764956874">
    <w:abstractNumId w:val="8"/>
  </w:num>
  <w:num w:numId="10" w16cid:durableId="1775860402">
    <w:abstractNumId w:val="6"/>
  </w:num>
  <w:num w:numId="11" w16cid:durableId="1996256165">
    <w:abstractNumId w:val="12"/>
  </w:num>
  <w:num w:numId="12" w16cid:durableId="1400708649">
    <w:abstractNumId w:val="10"/>
  </w:num>
  <w:num w:numId="13" w16cid:durableId="814298500">
    <w:abstractNumId w:val="0"/>
  </w:num>
  <w:num w:numId="14" w16cid:durableId="2063288272">
    <w:abstractNumId w:val="16"/>
  </w:num>
  <w:num w:numId="15" w16cid:durableId="1729760025">
    <w:abstractNumId w:val="3"/>
  </w:num>
  <w:num w:numId="16" w16cid:durableId="906573815">
    <w:abstractNumId w:val="9"/>
  </w:num>
  <w:num w:numId="17" w16cid:durableId="1643583734">
    <w:abstractNumId w:val="2"/>
  </w:num>
  <w:num w:numId="18" w16cid:durableId="1960145748">
    <w:abstractNumId w:val="18"/>
  </w:num>
  <w:num w:numId="19" w16cid:durableId="840854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C3"/>
    <w:rsid w:val="00021BBD"/>
    <w:rsid w:val="000407D4"/>
    <w:rsid w:val="00056E99"/>
    <w:rsid w:val="00060DBA"/>
    <w:rsid w:val="000853CF"/>
    <w:rsid w:val="000A6007"/>
    <w:rsid w:val="001002AE"/>
    <w:rsid w:val="00112CC4"/>
    <w:rsid w:val="001340BB"/>
    <w:rsid w:val="00152E42"/>
    <w:rsid w:val="0015613B"/>
    <w:rsid w:val="0018313C"/>
    <w:rsid w:val="001C1F16"/>
    <w:rsid w:val="00263F82"/>
    <w:rsid w:val="00272322"/>
    <w:rsid w:val="002A2901"/>
    <w:rsid w:val="00323D75"/>
    <w:rsid w:val="00401355"/>
    <w:rsid w:val="00402673"/>
    <w:rsid w:val="00470090"/>
    <w:rsid w:val="0047242D"/>
    <w:rsid w:val="004F145E"/>
    <w:rsid w:val="00522D02"/>
    <w:rsid w:val="00576DA3"/>
    <w:rsid w:val="00595C9A"/>
    <w:rsid w:val="00595FDB"/>
    <w:rsid w:val="005C46EB"/>
    <w:rsid w:val="005E0D7F"/>
    <w:rsid w:val="005E5EAD"/>
    <w:rsid w:val="005F0E3C"/>
    <w:rsid w:val="00601052"/>
    <w:rsid w:val="00607E76"/>
    <w:rsid w:val="00646C47"/>
    <w:rsid w:val="006C51A3"/>
    <w:rsid w:val="006D0240"/>
    <w:rsid w:val="00725ED3"/>
    <w:rsid w:val="007A4274"/>
    <w:rsid w:val="007B6346"/>
    <w:rsid w:val="007D3206"/>
    <w:rsid w:val="007E4E90"/>
    <w:rsid w:val="007E627D"/>
    <w:rsid w:val="007F6287"/>
    <w:rsid w:val="00877C3F"/>
    <w:rsid w:val="00A14746"/>
    <w:rsid w:val="00A72BB2"/>
    <w:rsid w:val="00AB23C3"/>
    <w:rsid w:val="00B07039"/>
    <w:rsid w:val="00B126F1"/>
    <w:rsid w:val="00B45623"/>
    <w:rsid w:val="00B85788"/>
    <w:rsid w:val="00B97520"/>
    <w:rsid w:val="00BF1459"/>
    <w:rsid w:val="00BF6CC3"/>
    <w:rsid w:val="00C15222"/>
    <w:rsid w:val="00C41925"/>
    <w:rsid w:val="00C73E52"/>
    <w:rsid w:val="00C82465"/>
    <w:rsid w:val="00CF10F5"/>
    <w:rsid w:val="00D02F9B"/>
    <w:rsid w:val="00D13DBC"/>
    <w:rsid w:val="00D160EB"/>
    <w:rsid w:val="00D44757"/>
    <w:rsid w:val="00D810C9"/>
    <w:rsid w:val="00DA16BD"/>
    <w:rsid w:val="00DA3F4D"/>
    <w:rsid w:val="00DE0F87"/>
    <w:rsid w:val="00DE63D1"/>
    <w:rsid w:val="00E46F8B"/>
    <w:rsid w:val="00F15663"/>
    <w:rsid w:val="00F31E7B"/>
    <w:rsid w:val="00F35A92"/>
    <w:rsid w:val="00FE7394"/>
    <w:rsid w:val="370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E30F7"/>
  <w15:docId w15:val="{B6CD5905-FF6E-4BC0-833F-0CFB8869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E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E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7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39"/>
  </w:style>
  <w:style w:type="paragraph" w:styleId="Footer">
    <w:name w:val="footer"/>
    <w:basedOn w:val="Normal"/>
    <w:link w:val="FooterChar"/>
    <w:uiPriority w:val="99"/>
    <w:unhideWhenUsed/>
    <w:rsid w:val="00B07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39"/>
  </w:style>
  <w:style w:type="paragraph" w:styleId="ListParagraph">
    <w:name w:val="List Paragraph"/>
    <w:basedOn w:val="Normal"/>
    <w:uiPriority w:val="34"/>
    <w:qFormat/>
    <w:rsid w:val="00DA16BD"/>
    <w:pPr>
      <w:ind w:left="720"/>
      <w:contextualSpacing/>
    </w:pPr>
  </w:style>
  <w:style w:type="paragraph" w:styleId="Revision">
    <w:name w:val="Revision"/>
    <w:hidden/>
    <w:uiPriority w:val="99"/>
    <w:semiHidden/>
    <w:rsid w:val="007A427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0C9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0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ildline.org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spcc.org.uk" TargetMode="External"/><Relationship Id="rId17" Type="http://schemas.openxmlformats.org/officeDocument/2006/relationships/hyperlink" Target="https://professionals.lincolnshire.gov.uk/team-around-chil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milylives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ildrenssociety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hinkuknow.co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tonitnow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CBBFEA121544391C6D99C9BCD5047" ma:contentTypeVersion="5" ma:contentTypeDescription="Create a new document." ma:contentTypeScope="" ma:versionID="f8a3901899d45736c53c0f7df996f6ee">
  <xsd:schema xmlns:xsd="http://www.w3.org/2001/XMLSchema" xmlns:xs="http://www.w3.org/2001/XMLSchema" xmlns:p="http://schemas.microsoft.com/office/2006/metadata/properties" xmlns:ns2="ebbea5d4-96d3-44d7-a80f-7a992302a947" xmlns:ns3="30dbe503-8198-436e-86ce-707d7ec30c6d" targetNamespace="http://schemas.microsoft.com/office/2006/metadata/properties" ma:root="true" ma:fieldsID="8dae5d6c2d4dd9f6d3330d435e61e575" ns2:_="" ns3:_="">
    <xsd:import namespace="ebbea5d4-96d3-44d7-a80f-7a992302a947"/>
    <xsd:import namespace="30dbe503-8198-436e-86ce-707d7ec30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ea5d4-96d3-44d7-a80f-7a992302a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be503-8198-436e-86ce-707d7ec30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61445-D4F7-46B4-8FAD-A89FBAF78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5693B-5529-42F2-AEE4-C2E46ED36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07E775-977B-467D-83AC-336CE4DEC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ea5d4-96d3-44d7-a80f-7a992302a947"/>
    <ds:schemaRef ds:uri="30dbe503-8198-436e-86ce-707d7ec30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03FA1A-4FA6-430C-8043-9274BC5148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5408</Characters>
  <Application>Microsoft Office Word</Application>
  <DocSecurity>0</DocSecurity>
  <Lines>45</Lines>
  <Paragraphs>12</Paragraphs>
  <ScaleCrop>false</ScaleCrop>
  <Company>Lincolnshire County Council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Mogg</dc:creator>
  <cp:lastModifiedBy>Trevor Stratton</cp:lastModifiedBy>
  <cp:revision>5</cp:revision>
  <cp:lastPrinted>2021-10-18T10:32:00Z</cp:lastPrinted>
  <dcterms:created xsi:type="dcterms:W3CDTF">2022-10-07T14:19:00Z</dcterms:created>
  <dcterms:modified xsi:type="dcterms:W3CDTF">2023-09-19T07:32:00Z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0x010100A05CBBFEA121544391C6D99C9BCD5047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