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1651249615"/>
        <w:docPartObj>
          <w:docPartGallery w:val="Table of Contents"/>
          <w:docPartUnique/>
        </w:docPartObj>
      </w:sdtPr>
      <w:sdtEndPr>
        <w:rPr>
          <w:b/>
          <w:bCs/>
        </w:rPr>
      </w:sdtEndPr>
      <w:sdtContent>
        <w:p w14:paraId="362B1CC4" w14:textId="71039349" w:rsidR="006E57B8" w:rsidRDefault="006E57B8">
          <w:pPr>
            <w:pStyle w:val="TOCHeading"/>
          </w:pPr>
          <w:r>
            <w:t>Table of Contents</w:t>
          </w:r>
        </w:p>
        <w:p w14:paraId="79C007AE" w14:textId="57A5E4BC" w:rsidR="00ED2140" w:rsidRDefault="006E57B8">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112855948" w:history="1">
            <w:r w:rsidR="00ED2140" w:rsidRPr="00872465">
              <w:rPr>
                <w:rStyle w:val="Hyperlink"/>
                <w:noProof/>
              </w:rPr>
              <w:t>1. Introduction</w:t>
            </w:r>
            <w:r w:rsidR="00ED2140">
              <w:rPr>
                <w:noProof/>
                <w:webHidden/>
              </w:rPr>
              <w:tab/>
            </w:r>
            <w:r w:rsidR="00ED2140">
              <w:rPr>
                <w:noProof/>
                <w:webHidden/>
              </w:rPr>
              <w:fldChar w:fldCharType="begin"/>
            </w:r>
            <w:r w:rsidR="00ED2140">
              <w:rPr>
                <w:noProof/>
                <w:webHidden/>
              </w:rPr>
              <w:instrText xml:space="preserve"> PAGEREF _Toc112855948 \h </w:instrText>
            </w:r>
            <w:r w:rsidR="00ED2140">
              <w:rPr>
                <w:noProof/>
                <w:webHidden/>
              </w:rPr>
            </w:r>
            <w:r w:rsidR="00ED2140">
              <w:rPr>
                <w:noProof/>
                <w:webHidden/>
              </w:rPr>
              <w:fldChar w:fldCharType="separate"/>
            </w:r>
            <w:r w:rsidR="00ED2140">
              <w:rPr>
                <w:noProof/>
                <w:webHidden/>
              </w:rPr>
              <w:t>1</w:t>
            </w:r>
            <w:r w:rsidR="00ED2140">
              <w:rPr>
                <w:noProof/>
                <w:webHidden/>
              </w:rPr>
              <w:fldChar w:fldCharType="end"/>
            </w:r>
          </w:hyperlink>
        </w:p>
        <w:p w14:paraId="56F399D7" w14:textId="33FB8287" w:rsidR="00ED2140" w:rsidRDefault="003636D0">
          <w:pPr>
            <w:pStyle w:val="TOC1"/>
            <w:tabs>
              <w:tab w:val="right" w:leader="dot" w:pos="10456"/>
            </w:tabs>
            <w:rPr>
              <w:rFonts w:eastAsiaTheme="minorEastAsia"/>
              <w:noProof/>
              <w:lang w:eastAsia="en-GB"/>
            </w:rPr>
          </w:pPr>
          <w:hyperlink w:anchor="_Toc112855949" w:history="1">
            <w:r w:rsidR="00ED2140" w:rsidRPr="00872465">
              <w:rPr>
                <w:rStyle w:val="Hyperlink"/>
                <w:noProof/>
              </w:rPr>
              <w:t>2. Purpose and Scope</w:t>
            </w:r>
            <w:r w:rsidR="00ED2140">
              <w:rPr>
                <w:noProof/>
                <w:webHidden/>
              </w:rPr>
              <w:tab/>
            </w:r>
            <w:r w:rsidR="00ED2140">
              <w:rPr>
                <w:noProof/>
                <w:webHidden/>
              </w:rPr>
              <w:fldChar w:fldCharType="begin"/>
            </w:r>
            <w:r w:rsidR="00ED2140">
              <w:rPr>
                <w:noProof/>
                <w:webHidden/>
              </w:rPr>
              <w:instrText xml:space="preserve"> PAGEREF _Toc112855949 \h </w:instrText>
            </w:r>
            <w:r w:rsidR="00ED2140">
              <w:rPr>
                <w:noProof/>
                <w:webHidden/>
              </w:rPr>
            </w:r>
            <w:r w:rsidR="00ED2140">
              <w:rPr>
                <w:noProof/>
                <w:webHidden/>
              </w:rPr>
              <w:fldChar w:fldCharType="separate"/>
            </w:r>
            <w:r w:rsidR="00ED2140">
              <w:rPr>
                <w:noProof/>
                <w:webHidden/>
              </w:rPr>
              <w:t>1</w:t>
            </w:r>
            <w:r w:rsidR="00ED2140">
              <w:rPr>
                <w:noProof/>
                <w:webHidden/>
              </w:rPr>
              <w:fldChar w:fldCharType="end"/>
            </w:r>
          </w:hyperlink>
        </w:p>
        <w:p w14:paraId="5A61C238" w14:textId="4424417E" w:rsidR="00ED2140" w:rsidRDefault="003636D0">
          <w:pPr>
            <w:pStyle w:val="TOC1"/>
            <w:tabs>
              <w:tab w:val="right" w:leader="dot" w:pos="10456"/>
            </w:tabs>
            <w:rPr>
              <w:rFonts w:eastAsiaTheme="minorEastAsia"/>
              <w:noProof/>
              <w:lang w:eastAsia="en-GB"/>
            </w:rPr>
          </w:pPr>
          <w:hyperlink w:anchor="_Toc112855950" w:history="1">
            <w:r w:rsidR="00ED2140" w:rsidRPr="00872465">
              <w:rPr>
                <w:rStyle w:val="Hyperlink"/>
                <w:noProof/>
              </w:rPr>
              <w:t>3. Performance Management in Summary</w:t>
            </w:r>
            <w:r w:rsidR="00ED2140">
              <w:rPr>
                <w:noProof/>
                <w:webHidden/>
              </w:rPr>
              <w:tab/>
            </w:r>
            <w:r w:rsidR="00ED2140">
              <w:rPr>
                <w:noProof/>
                <w:webHidden/>
              </w:rPr>
              <w:fldChar w:fldCharType="begin"/>
            </w:r>
            <w:r w:rsidR="00ED2140">
              <w:rPr>
                <w:noProof/>
                <w:webHidden/>
              </w:rPr>
              <w:instrText xml:space="preserve"> PAGEREF _Toc112855950 \h </w:instrText>
            </w:r>
            <w:r w:rsidR="00ED2140">
              <w:rPr>
                <w:noProof/>
                <w:webHidden/>
              </w:rPr>
            </w:r>
            <w:r w:rsidR="00ED2140">
              <w:rPr>
                <w:noProof/>
                <w:webHidden/>
              </w:rPr>
              <w:fldChar w:fldCharType="separate"/>
            </w:r>
            <w:r w:rsidR="00ED2140">
              <w:rPr>
                <w:noProof/>
                <w:webHidden/>
              </w:rPr>
              <w:t>2</w:t>
            </w:r>
            <w:r w:rsidR="00ED2140">
              <w:rPr>
                <w:noProof/>
                <w:webHidden/>
              </w:rPr>
              <w:fldChar w:fldCharType="end"/>
            </w:r>
          </w:hyperlink>
        </w:p>
        <w:p w14:paraId="7364B482" w14:textId="7839B248" w:rsidR="00ED2140" w:rsidRDefault="003636D0">
          <w:pPr>
            <w:pStyle w:val="TOC1"/>
            <w:tabs>
              <w:tab w:val="right" w:leader="dot" w:pos="10456"/>
            </w:tabs>
            <w:rPr>
              <w:rFonts w:eastAsiaTheme="minorEastAsia"/>
              <w:noProof/>
              <w:lang w:eastAsia="en-GB"/>
            </w:rPr>
          </w:pPr>
          <w:hyperlink w:anchor="_Toc112855951" w:history="1">
            <w:r w:rsidR="00ED2140" w:rsidRPr="00872465">
              <w:rPr>
                <w:rStyle w:val="Hyperlink"/>
                <w:noProof/>
              </w:rPr>
              <w:t>4. Quality Assurance in Summary</w:t>
            </w:r>
            <w:r w:rsidR="00ED2140">
              <w:rPr>
                <w:noProof/>
                <w:webHidden/>
              </w:rPr>
              <w:tab/>
            </w:r>
            <w:r w:rsidR="00ED2140">
              <w:rPr>
                <w:noProof/>
                <w:webHidden/>
              </w:rPr>
              <w:fldChar w:fldCharType="begin"/>
            </w:r>
            <w:r w:rsidR="00ED2140">
              <w:rPr>
                <w:noProof/>
                <w:webHidden/>
              </w:rPr>
              <w:instrText xml:space="preserve"> PAGEREF _Toc112855951 \h </w:instrText>
            </w:r>
            <w:r w:rsidR="00ED2140">
              <w:rPr>
                <w:noProof/>
                <w:webHidden/>
              </w:rPr>
            </w:r>
            <w:r w:rsidR="00ED2140">
              <w:rPr>
                <w:noProof/>
                <w:webHidden/>
              </w:rPr>
              <w:fldChar w:fldCharType="separate"/>
            </w:r>
            <w:r w:rsidR="00ED2140">
              <w:rPr>
                <w:noProof/>
                <w:webHidden/>
              </w:rPr>
              <w:t>2</w:t>
            </w:r>
            <w:r w:rsidR="00ED2140">
              <w:rPr>
                <w:noProof/>
                <w:webHidden/>
              </w:rPr>
              <w:fldChar w:fldCharType="end"/>
            </w:r>
          </w:hyperlink>
        </w:p>
        <w:p w14:paraId="796DDB14" w14:textId="5FAA6EDC" w:rsidR="00ED2140" w:rsidRDefault="003636D0">
          <w:pPr>
            <w:pStyle w:val="TOC1"/>
            <w:tabs>
              <w:tab w:val="right" w:leader="dot" w:pos="10456"/>
            </w:tabs>
            <w:rPr>
              <w:rFonts w:eastAsiaTheme="minorEastAsia"/>
              <w:noProof/>
              <w:lang w:eastAsia="en-GB"/>
            </w:rPr>
          </w:pPr>
          <w:hyperlink w:anchor="_Toc112855952" w:history="1">
            <w:r w:rsidR="00ED2140" w:rsidRPr="00872465">
              <w:rPr>
                <w:rStyle w:val="Hyperlink"/>
                <w:noProof/>
              </w:rPr>
              <w:t>5. Outcome and Success Measures</w:t>
            </w:r>
            <w:r w:rsidR="00ED2140">
              <w:rPr>
                <w:noProof/>
                <w:webHidden/>
              </w:rPr>
              <w:tab/>
            </w:r>
            <w:r w:rsidR="00ED2140">
              <w:rPr>
                <w:noProof/>
                <w:webHidden/>
              </w:rPr>
              <w:fldChar w:fldCharType="begin"/>
            </w:r>
            <w:r w:rsidR="00ED2140">
              <w:rPr>
                <w:noProof/>
                <w:webHidden/>
              </w:rPr>
              <w:instrText xml:space="preserve"> PAGEREF _Toc112855952 \h </w:instrText>
            </w:r>
            <w:r w:rsidR="00ED2140">
              <w:rPr>
                <w:noProof/>
                <w:webHidden/>
              </w:rPr>
            </w:r>
            <w:r w:rsidR="00ED2140">
              <w:rPr>
                <w:noProof/>
                <w:webHidden/>
              </w:rPr>
              <w:fldChar w:fldCharType="separate"/>
            </w:r>
            <w:r w:rsidR="00ED2140">
              <w:rPr>
                <w:noProof/>
                <w:webHidden/>
              </w:rPr>
              <w:t>5</w:t>
            </w:r>
            <w:r w:rsidR="00ED2140">
              <w:rPr>
                <w:noProof/>
                <w:webHidden/>
              </w:rPr>
              <w:fldChar w:fldCharType="end"/>
            </w:r>
          </w:hyperlink>
        </w:p>
        <w:p w14:paraId="2EFB6C9C" w14:textId="067A9836" w:rsidR="006E57B8" w:rsidRDefault="006E57B8" w:rsidP="00ED2140">
          <w:pPr>
            <w:pStyle w:val="TOC1"/>
            <w:tabs>
              <w:tab w:val="right" w:leader="dot" w:pos="13948"/>
            </w:tabs>
          </w:pPr>
          <w:r>
            <w:rPr>
              <w:b/>
              <w:bCs/>
            </w:rPr>
            <w:fldChar w:fldCharType="end"/>
          </w:r>
        </w:p>
      </w:sdtContent>
    </w:sdt>
    <w:p w14:paraId="6258AA96" w14:textId="77777777" w:rsidR="00F84567" w:rsidRPr="00C0739C" w:rsidRDefault="00F84567" w:rsidP="005C6E19">
      <w:pPr>
        <w:pStyle w:val="Heading1"/>
        <w:spacing w:before="0"/>
        <w:rPr>
          <w:color w:val="65598E"/>
        </w:rPr>
      </w:pPr>
      <w:bookmarkStart w:id="0" w:name="_Toc112855948"/>
      <w:r w:rsidRPr="00C0739C">
        <w:rPr>
          <w:color w:val="65598E"/>
        </w:rPr>
        <w:t>1. Introduction</w:t>
      </w:r>
      <w:bookmarkEnd w:id="0"/>
    </w:p>
    <w:p w14:paraId="4B91E01A" w14:textId="63B17D20" w:rsidR="00F84567" w:rsidRDefault="00F84567" w:rsidP="005C6E19">
      <w:pPr>
        <w:spacing w:after="0"/>
      </w:pPr>
      <w:r>
        <w:t xml:space="preserve">This document sets out the </w:t>
      </w:r>
      <w:r w:rsidR="002D472D">
        <w:t xml:space="preserve">Quality Assurance and </w:t>
      </w:r>
      <w:r>
        <w:t xml:space="preserve">Performance Management Framework for </w:t>
      </w:r>
      <w:r w:rsidR="007B2FC6">
        <w:t xml:space="preserve">Multi Agency Child Exploitation </w:t>
      </w:r>
      <w:r w:rsidR="00A7268A">
        <w:t>(MACE)</w:t>
      </w:r>
      <w:r w:rsidR="00DD67A8">
        <w:t xml:space="preserve"> arrangements</w:t>
      </w:r>
      <w:r w:rsidR="00A7268A">
        <w:t xml:space="preserve"> </w:t>
      </w:r>
      <w:r>
        <w:t xml:space="preserve">in </w:t>
      </w:r>
      <w:r w:rsidR="00F03C7C">
        <w:t xml:space="preserve">Lincolnshire </w:t>
      </w:r>
      <w:r>
        <w:t xml:space="preserve">to ensure there is a clear and succinct approach to understanding how well our </w:t>
      </w:r>
      <w:r w:rsidR="00F03C7C">
        <w:t>arrangements</w:t>
      </w:r>
      <w:r>
        <w:t xml:space="preserve"> are </w:t>
      </w:r>
      <w:r w:rsidR="00F03C7C">
        <w:t>working</w:t>
      </w:r>
      <w:r>
        <w:t>, checking the impact of services for children, and learning from what we find to guide our improvement actions.</w:t>
      </w:r>
    </w:p>
    <w:p w14:paraId="70BED257" w14:textId="63983CCE" w:rsidR="009658C0" w:rsidRDefault="009658C0" w:rsidP="005C6E19">
      <w:pPr>
        <w:spacing w:after="0"/>
      </w:pPr>
    </w:p>
    <w:p w14:paraId="5B19789D" w14:textId="77777777" w:rsidR="009522C7" w:rsidRPr="009522C7" w:rsidRDefault="009522C7" w:rsidP="005C6E19">
      <w:pPr>
        <w:pStyle w:val="Heading1"/>
        <w:spacing w:before="0"/>
        <w:rPr>
          <w:color w:val="65598E"/>
        </w:rPr>
      </w:pPr>
      <w:bookmarkStart w:id="1" w:name="_Toc112855949"/>
      <w:r w:rsidRPr="009522C7">
        <w:rPr>
          <w:color w:val="65598E"/>
        </w:rPr>
        <w:t>2. Purpose and Scope</w:t>
      </w:r>
      <w:bookmarkEnd w:id="1"/>
    </w:p>
    <w:p w14:paraId="7B3510FF" w14:textId="376B967A" w:rsidR="009522C7" w:rsidRDefault="009522C7" w:rsidP="005C6E19">
      <w:pPr>
        <w:spacing w:after="0"/>
      </w:pPr>
      <w:r>
        <w:t xml:space="preserve">The primary purpose of this framework is to set out clear expectations of </w:t>
      </w:r>
      <w:r w:rsidR="00664BFD">
        <w:t>MACE</w:t>
      </w:r>
      <w:r>
        <w:t xml:space="preserve"> to provide support, </w:t>
      </w:r>
      <w:r w:rsidR="00EF1F73">
        <w:t>guidance,</w:t>
      </w:r>
      <w:r>
        <w:t xml:space="preserve"> and the tools with which to understand how </w:t>
      </w:r>
      <w:r w:rsidR="0028219F">
        <w:t>MACE can operate successfully</w:t>
      </w:r>
      <w:r>
        <w:t xml:space="preserve">. </w:t>
      </w:r>
      <w:r w:rsidR="0028219F">
        <w:t xml:space="preserve"> </w:t>
      </w:r>
      <w:r>
        <w:t>In turn, this process will support continuous sustained improvements to services</w:t>
      </w:r>
      <w:r w:rsidR="00C90CB8">
        <w:t>;</w:t>
      </w:r>
      <w:r w:rsidR="0038764B">
        <w:t xml:space="preserve"> ultimately achieving </w:t>
      </w:r>
      <w:r>
        <w:t xml:space="preserve">better outcomes for children, young people, </w:t>
      </w:r>
      <w:r w:rsidR="00EF1F73">
        <w:t>parents,</w:t>
      </w:r>
      <w:r>
        <w:t xml:space="preserve"> and families</w:t>
      </w:r>
      <w:r w:rsidR="00C90CB8">
        <w:t xml:space="preserve"> across</w:t>
      </w:r>
      <w:r w:rsidR="00D52D57" w:rsidRPr="00D52D57">
        <w:t xml:space="preserve"> </w:t>
      </w:r>
      <w:r w:rsidR="00D52D57">
        <w:t>Lincolnshire</w:t>
      </w:r>
      <w:r w:rsidR="0063391C">
        <w:t>.</w:t>
      </w:r>
    </w:p>
    <w:p w14:paraId="3DDA1168" w14:textId="77777777" w:rsidR="009522C7" w:rsidRDefault="009522C7" w:rsidP="005C6E19">
      <w:pPr>
        <w:spacing w:after="0"/>
      </w:pPr>
    </w:p>
    <w:p w14:paraId="71DA858A" w14:textId="6ACCBFCE" w:rsidR="009522C7" w:rsidRDefault="009522C7" w:rsidP="005C6E19">
      <w:pPr>
        <w:spacing w:after="0"/>
      </w:pPr>
      <w:r>
        <w:t xml:space="preserve">The framework will enable services to be </w:t>
      </w:r>
      <w:r w:rsidR="00566D90">
        <w:t>jointly</w:t>
      </w:r>
      <w:r>
        <w:t xml:space="preserve"> accountable for quality, </w:t>
      </w:r>
      <w:r w:rsidR="00EF1F73">
        <w:t>performance,</w:t>
      </w:r>
      <w:r>
        <w:t xml:space="preserve"> and impact</w:t>
      </w:r>
      <w:r w:rsidR="00EF1F73">
        <w:t>;</w:t>
      </w:r>
      <w:r>
        <w:t xml:space="preserve"> allowing any other person or organisation to see and understand how we can work together to improve outcomes for children and young people, and how they can contribute. </w:t>
      </w:r>
      <w:r w:rsidR="00CA3217">
        <w:t xml:space="preserve"> </w:t>
      </w:r>
      <w:r>
        <w:t xml:space="preserve">In a continuously improving system, what we identify from interrogating data and providing intelligence must be tested out in practice to truly assure ourselves of the quality and impact of work across the system that aims to improve outcomes for children, young </w:t>
      </w:r>
      <w:r w:rsidR="00EF1F73">
        <w:t>people,</w:t>
      </w:r>
      <w:r>
        <w:t xml:space="preserve"> and families.</w:t>
      </w:r>
    </w:p>
    <w:p w14:paraId="6741F944" w14:textId="77777777" w:rsidR="009522C7" w:rsidRDefault="009522C7" w:rsidP="005C6E19">
      <w:pPr>
        <w:spacing w:after="0"/>
      </w:pPr>
    </w:p>
    <w:p w14:paraId="69048289" w14:textId="335E1E94" w:rsidR="009522C7" w:rsidRDefault="001878BF" w:rsidP="005C6E19">
      <w:pPr>
        <w:spacing w:after="0"/>
      </w:pPr>
      <w:r w:rsidRPr="001878BF">
        <w:t xml:space="preserve">The </w:t>
      </w:r>
      <w:r w:rsidR="00094C08">
        <w:t>f</w:t>
      </w:r>
      <w:r w:rsidRPr="001878BF">
        <w:t xml:space="preserve">ramework sets out how performance management will operate across the partnership in </w:t>
      </w:r>
      <w:r>
        <w:t xml:space="preserve">Lincolnshire.  </w:t>
      </w:r>
      <w:r w:rsidR="009522C7">
        <w:t xml:space="preserve">A systems approach to performance management designed to ensure that all stakeholders are fully informed and can robustly engage in support, </w:t>
      </w:r>
      <w:r w:rsidR="00EF1F73">
        <w:t>challenge,</w:t>
      </w:r>
      <w:r w:rsidR="009522C7">
        <w:t xml:space="preserve"> and oversight of </w:t>
      </w:r>
      <w:r w:rsidR="00A7268A">
        <w:t>MACE</w:t>
      </w:r>
      <w:r w:rsidR="009522C7">
        <w:t>.</w:t>
      </w:r>
      <w:r w:rsidR="0057603F">
        <w:t xml:space="preserve">  The below </w:t>
      </w:r>
      <w:r w:rsidR="003204AA">
        <w:t xml:space="preserve">graph demonstrates how </w:t>
      </w:r>
      <w:r w:rsidR="00C702EE">
        <w:t xml:space="preserve">information from </w:t>
      </w:r>
      <w:r w:rsidR="003204AA">
        <w:t>operation</w:t>
      </w:r>
      <w:r w:rsidR="00C702EE">
        <w:t>al w</w:t>
      </w:r>
      <w:r w:rsidR="002B2895">
        <w:t xml:space="preserve">eekly </w:t>
      </w:r>
      <w:r w:rsidR="003204AA">
        <w:t xml:space="preserve">MACE feeds up to </w:t>
      </w:r>
      <w:r w:rsidR="00C702EE">
        <w:t xml:space="preserve">senior </w:t>
      </w:r>
      <w:r w:rsidR="004F766E">
        <w:t xml:space="preserve">managements oversight in the </w:t>
      </w:r>
      <w:r w:rsidR="00566D90" w:rsidRPr="00566D90">
        <w:t>CEM and</w:t>
      </w:r>
      <w:r w:rsidR="0051668E" w:rsidRPr="00566D90">
        <w:t xml:space="preserve"> </w:t>
      </w:r>
      <w:r w:rsidR="004F766E" w:rsidRPr="00566D90">
        <w:t>MACE</w:t>
      </w:r>
      <w:r w:rsidR="0051668E" w:rsidRPr="00566D90">
        <w:t xml:space="preserve"> </w:t>
      </w:r>
      <w:r w:rsidR="00C702EE">
        <w:t>sub</w:t>
      </w:r>
      <w:r w:rsidR="001E7AD5">
        <w:t>-</w:t>
      </w:r>
      <w:r w:rsidR="00C702EE">
        <w:t>group</w:t>
      </w:r>
      <w:r w:rsidR="004F766E">
        <w:t>:</w:t>
      </w:r>
    </w:p>
    <w:p w14:paraId="4550828A" w14:textId="77777777" w:rsidR="00423561" w:rsidRDefault="00423561" w:rsidP="005C6E19">
      <w:pPr>
        <w:spacing w:after="0"/>
      </w:pPr>
    </w:p>
    <w:p w14:paraId="1E7BFB5D" w14:textId="2491A688" w:rsidR="004F766E" w:rsidRDefault="004F766E" w:rsidP="005C6E19">
      <w:pPr>
        <w:spacing w:after="0"/>
      </w:pPr>
      <w:r>
        <w:rPr>
          <w:noProof/>
        </w:rPr>
        <w:drawing>
          <wp:inline distT="0" distB="0" distL="0" distR="0" wp14:anchorId="02AE72EC" wp14:editId="17487D33">
            <wp:extent cx="6659880" cy="534670"/>
            <wp:effectExtent l="19050" t="0" r="45720" b="177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C6F2C35" w14:textId="77777777" w:rsidR="00423561" w:rsidRDefault="00423561" w:rsidP="005C6E19">
      <w:pPr>
        <w:spacing w:after="0"/>
      </w:pPr>
    </w:p>
    <w:p w14:paraId="373BDBA3" w14:textId="7BB8EA3F" w:rsidR="009522C7" w:rsidRDefault="009522C7" w:rsidP="005C6E19">
      <w:pPr>
        <w:spacing w:after="0"/>
      </w:pPr>
      <w:r>
        <w:t>To be effective</w:t>
      </w:r>
      <w:r w:rsidR="00EF1F73">
        <w:t>,</w:t>
      </w:r>
      <w:r>
        <w:t xml:space="preserve"> this </w:t>
      </w:r>
      <w:r w:rsidR="006908AD">
        <w:t xml:space="preserve">Quality Assurance and </w:t>
      </w:r>
      <w:r>
        <w:t>Performance Management Framework includes:</w:t>
      </w:r>
    </w:p>
    <w:p w14:paraId="0E65D981" w14:textId="77777777" w:rsidR="009522C7" w:rsidRDefault="009522C7" w:rsidP="005C6E19">
      <w:pPr>
        <w:spacing w:after="0"/>
      </w:pPr>
    </w:p>
    <w:p w14:paraId="7455E2CE" w14:textId="6349EF10" w:rsidR="009522C7" w:rsidRDefault="009522C7" w:rsidP="008E7187">
      <w:pPr>
        <w:pStyle w:val="ListParagraph"/>
        <w:numPr>
          <w:ilvl w:val="0"/>
          <w:numId w:val="10"/>
        </w:numPr>
        <w:spacing w:after="0"/>
      </w:pPr>
      <w:r>
        <w:t>Cycles for the regular reporting and analysis of comprehensive, accurate and reliable performance data</w:t>
      </w:r>
      <w:r w:rsidR="00233566">
        <w:t>,</w:t>
      </w:r>
    </w:p>
    <w:p w14:paraId="1DEAFAD7" w14:textId="13A267A1" w:rsidR="009522C7" w:rsidRDefault="009522C7" w:rsidP="008E7187">
      <w:pPr>
        <w:pStyle w:val="ListParagraph"/>
        <w:numPr>
          <w:ilvl w:val="0"/>
          <w:numId w:val="10"/>
        </w:numPr>
        <w:spacing w:after="0"/>
      </w:pPr>
      <w:r>
        <w:t>A single approach to assuring data quality, beginning with a practitioner understanding of key data and feeding up to assurance reporting for Senior Leadership Team and Members, ensuring appropriate familiarity with data and KPIs with the aim of improving practice</w:t>
      </w:r>
      <w:r w:rsidR="00233566">
        <w:t>,</w:t>
      </w:r>
    </w:p>
    <w:p w14:paraId="5AA5C346" w14:textId="71FFF9E5" w:rsidR="009522C7" w:rsidRDefault="009522C7" w:rsidP="005C6E19">
      <w:pPr>
        <w:pStyle w:val="ListParagraph"/>
        <w:numPr>
          <w:ilvl w:val="0"/>
          <w:numId w:val="7"/>
        </w:numPr>
        <w:spacing w:after="0"/>
      </w:pPr>
      <w:r>
        <w:t>Clear monitoring and quality assurance arrangements that aim to build the competence and confidence of staff at all levels to know what ‘good’ looks like</w:t>
      </w:r>
      <w:r w:rsidR="00176CF0">
        <w:t>,</w:t>
      </w:r>
    </w:p>
    <w:p w14:paraId="244144F9" w14:textId="34F7AB90" w:rsidR="009522C7" w:rsidRDefault="009522C7" w:rsidP="005C6E19">
      <w:pPr>
        <w:pStyle w:val="ListParagraph"/>
        <w:numPr>
          <w:ilvl w:val="0"/>
          <w:numId w:val="7"/>
        </w:numPr>
        <w:spacing w:after="0"/>
      </w:pPr>
      <w:r>
        <w:t xml:space="preserve">How we will use the outcomes of performance analysis and reporting, monitoring, case audits, complaints, Rapid Reviews/Local Child Safeguarding Practice Reviews/ National Child Safeguarding Practice Reviews and </w:t>
      </w:r>
      <w:r>
        <w:lastRenderedPageBreak/>
        <w:t>multi-agency audits to drive service improvements, closing the gap between evaluation, learning and the actions we take as a result</w:t>
      </w:r>
      <w:r w:rsidR="00233566">
        <w:t>,</w:t>
      </w:r>
    </w:p>
    <w:p w14:paraId="76FFD78D" w14:textId="166950AE" w:rsidR="009522C7" w:rsidRDefault="009522C7" w:rsidP="005C6E19">
      <w:pPr>
        <w:pStyle w:val="ListParagraph"/>
        <w:numPr>
          <w:ilvl w:val="0"/>
          <w:numId w:val="7"/>
        </w:numPr>
        <w:spacing w:after="0"/>
      </w:pPr>
      <w:r>
        <w:t xml:space="preserve">Staff training and development activities to ensure ownership and understanding of </w:t>
      </w:r>
      <w:r w:rsidR="007712F5">
        <w:t xml:space="preserve">quality assurance and </w:t>
      </w:r>
      <w:r>
        <w:t xml:space="preserve">performance management by staff at all levels </w:t>
      </w:r>
      <w:r w:rsidR="00E0362D">
        <w:t>across</w:t>
      </w:r>
      <w:r>
        <w:t xml:space="preserve"> the organisation</w:t>
      </w:r>
      <w:r w:rsidR="00E0362D">
        <w:t>s</w:t>
      </w:r>
      <w:r w:rsidR="00233566">
        <w:t>,</w:t>
      </w:r>
    </w:p>
    <w:p w14:paraId="4FFD26EB" w14:textId="4CD2D281" w:rsidR="009522C7" w:rsidRDefault="009522C7" w:rsidP="005C6E19">
      <w:pPr>
        <w:pStyle w:val="ListParagraph"/>
        <w:numPr>
          <w:ilvl w:val="0"/>
          <w:numId w:val="7"/>
        </w:numPr>
        <w:spacing w:after="0"/>
      </w:pPr>
      <w:r>
        <w:t>An immediate response to identified concerns for children's safeguarding or welfare.</w:t>
      </w:r>
    </w:p>
    <w:p w14:paraId="0395FFB5" w14:textId="77777777" w:rsidR="000D1D95" w:rsidRDefault="000D1D95" w:rsidP="005C6E19">
      <w:pPr>
        <w:spacing w:after="0"/>
      </w:pPr>
    </w:p>
    <w:p w14:paraId="34EC4912" w14:textId="77777777" w:rsidR="000D1D95" w:rsidRPr="000D1D95" w:rsidRDefault="000D1D95" w:rsidP="005C6E19">
      <w:pPr>
        <w:pStyle w:val="Heading1"/>
        <w:spacing w:before="0"/>
        <w:rPr>
          <w:color w:val="65598E"/>
        </w:rPr>
      </w:pPr>
      <w:bookmarkStart w:id="2" w:name="_Toc112855950"/>
      <w:r w:rsidRPr="000D1D95">
        <w:rPr>
          <w:color w:val="65598E"/>
        </w:rPr>
        <w:t>3. Performance Management in Summary</w:t>
      </w:r>
      <w:bookmarkEnd w:id="2"/>
    </w:p>
    <w:p w14:paraId="0D870F47" w14:textId="0F03FEFC" w:rsidR="009B6E4D" w:rsidRDefault="000D1D95" w:rsidP="005C6E19">
      <w:pPr>
        <w:spacing w:after="0"/>
      </w:pPr>
      <w:r>
        <w:t xml:space="preserve">Performance management is everybody's business.  It is about improving outcomes for our children, young </w:t>
      </w:r>
      <w:r w:rsidR="0033599A">
        <w:t>people,</w:t>
      </w:r>
      <w:r>
        <w:t xml:space="preserve"> and their families</w:t>
      </w:r>
      <w:r w:rsidR="0033599A">
        <w:t>.  I</w:t>
      </w:r>
      <w:r>
        <w:t xml:space="preserve">t means taking action in response to actual performance at an individual, team, service, </w:t>
      </w:r>
      <w:r w:rsidR="009C464C">
        <w:t>d</w:t>
      </w:r>
      <w:r>
        <w:t>epartment, corporate, or community level.</w:t>
      </w:r>
    </w:p>
    <w:p w14:paraId="169FDABC" w14:textId="77777777" w:rsidR="009B6E4D" w:rsidRDefault="009B6E4D" w:rsidP="005C6E19">
      <w:pPr>
        <w:spacing w:after="0"/>
      </w:pPr>
    </w:p>
    <w:p w14:paraId="4C71F1F1" w14:textId="55B16849" w:rsidR="000D1D95" w:rsidRDefault="000D1D95" w:rsidP="005C6E19">
      <w:pPr>
        <w:spacing w:after="0"/>
      </w:pPr>
      <w:r>
        <w:t>All staff and managers are responsible for their own work and their contribution to the work of their team and service</w:t>
      </w:r>
      <w:r w:rsidR="00555D82">
        <w:t>,</w:t>
      </w:r>
      <w:r>
        <w:t xml:space="preserve"> including performance management and quality assurance.</w:t>
      </w:r>
      <w:r w:rsidR="00630308">
        <w:t xml:space="preserve"> </w:t>
      </w:r>
      <w:r>
        <w:t xml:space="preserve"> Managers have additional responsibilities to understand, monitor</w:t>
      </w:r>
      <w:r w:rsidR="0033599A">
        <w:t>,</w:t>
      </w:r>
      <w:r>
        <w:t xml:space="preserve"> and address performance issues within their service area, team</w:t>
      </w:r>
      <w:r w:rsidR="0033599A">
        <w:t>,</w:t>
      </w:r>
      <w:r>
        <w:t xml:space="preserve"> and with individual staff members.</w:t>
      </w:r>
      <w:r w:rsidR="00630308">
        <w:t xml:space="preserve"> </w:t>
      </w:r>
      <w:r>
        <w:t xml:space="preserve"> Through implementing this framework</w:t>
      </w:r>
      <w:r w:rsidR="00630308">
        <w:t>,</w:t>
      </w:r>
      <w:r>
        <w:t xml:space="preserve"> all managers will be equipped with the skills, </w:t>
      </w:r>
      <w:r w:rsidR="0033599A">
        <w:t>knowledge,</w:t>
      </w:r>
      <w:r>
        <w:t xml:space="preserve"> and tools to access, understand, interpret</w:t>
      </w:r>
      <w:r w:rsidR="0033599A">
        <w:t>,</w:t>
      </w:r>
      <w:r>
        <w:t xml:space="preserve"> and use performance and quality assurance information.</w:t>
      </w:r>
    </w:p>
    <w:p w14:paraId="4A5B7C86" w14:textId="77777777" w:rsidR="000D1D95" w:rsidRDefault="000D1D95" w:rsidP="005C6E19">
      <w:pPr>
        <w:spacing w:after="0"/>
      </w:pPr>
    </w:p>
    <w:p w14:paraId="32C4EF95" w14:textId="00DF42B1" w:rsidR="000D1D95" w:rsidRDefault="0010151F" w:rsidP="005C6E19">
      <w:pPr>
        <w:spacing w:after="0"/>
      </w:pPr>
      <w:r>
        <w:t>Lincolnshire’s</w:t>
      </w:r>
      <w:r w:rsidR="000D1D95">
        <w:t xml:space="preserve"> performance management arrangements will enable managers to:</w:t>
      </w:r>
    </w:p>
    <w:p w14:paraId="4827E4DF" w14:textId="77777777" w:rsidR="000D1D95" w:rsidRDefault="000D1D95" w:rsidP="005C6E19">
      <w:pPr>
        <w:spacing w:after="0"/>
      </w:pPr>
    </w:p>
    <w:p w14:paraId="3D840C43" w14:textId="7085F9F9" w:rsidR="000D1D95" w:rsidRDefault="000D1D95" w:rsidP="005C6E19">
      <w:pPr>
        <w:pStyle w:val="ListParagraph"/>
        <w:numPr>
          <w:ilvl w:val="0"/>
          <w:numId w:val="9"/>
        </w:numPr>
        <w:spacing w:after="0"/>
      </w:pPr>
      <w:r>
        <w:t>Use performance data e.g. Power BI to help maintain, develop and improve services by responding to identified needs</w:t>
      </w:r>
      <w:r w:rsidR="00E45394">
        <w:t>,</w:t>
      </w:r>
    </w:p>
    <w:p w14:paraId="0DD74A99" w14:textId="7047620B" w:rsidR="000D1D95" w:rsidRDefault="000D1D95" w:rsidP="005C6E19">
      <w:pPr>
        <w:pStyle w:val="ListParagraph"/>
        <w:numPr>
          <w:ilvl w:val="0"/>
          <w:numId w:val="9"/>
        </w:numPr>
        <w:spacing w:after="0"/>
      </w:pPr>
      <w:r>
        <w:t>Understand the direction of travel, decide where to target action and evaluate the impact of these actions</w:t>
      </w:r>
      <w:r w:rsidR="00520651">
        <w:t>,</w:t>
      </w:r>
    </w:p>
    <w:p w14:paraId="17558469" w14:textId="13710D4C" w:rsidR="000D1D95" w:rsidRDefault="000D1D95" w:rsidP="005C6E19">
      <w:pPr>
        <w:pStyle w:val="ListParagraph"/>
        <w:numPr>
          <w:ilvl w:val="0"/>
          <w:numId w:val="9"/>
        </w:numPr>
        <w:spacing w:after="0"/>
      </w:pPr>
      <w:r>
        <w:t>Identify trends and variances so that early action can be taken</w:t>
      </w:r>
      <w:r w:rsidR="00520651">
        <w:t>,</w:t>
      </w:r>
    </w:p>
    <w:p w14:paraId="46C565CB" w14:textId="7545DA43" w:rsidR="000D1D95" w:rsidRDefault="000D1D95" w:rsidP="005C6E19">
      <w:pPr>
        <w:pStyle w:val="ListParagraph"/>
        <w:numPr>
          <w:ilvl w:val="0"/>
          <w:numId w:val="9"/>
        </w:numPr>
        <w:spacing w:after="0"/>
      </w:pPr>
      <w:r>
        <w:t>Hold services and individuals to account for their contribution to improving outcomes for children and young people</w:t>
      </w:r>
      <w:r w:rsidR="00520651">
        <w:t>,</w:t>
      </w:r>
    </w:p>
    <w:p w14:paraId="71461D16" w14:textId="6A6FD85F" w:rsidR="00ED3FBF" w:rsidRDefault="000D1D95" w:rsidP="005C6E19">
      <w:pPr>
        <w:pStyle w:val="ListParagraph"/>
        <w:numPr>
          <w:ilvl w:val="0"/>
          <w:numId w:val="9"/>
        </w:numPr>
        <w:spacing w:after="0"/>
      </w:pPr>
      <w:r>
        <w:t>Forecast and predict future issues and needs, informing decisions about where to deploy staff and resources.</w:t>
      </w:r>
    </w:p>
    <w:p w14:paraId="75DE86AA" w14:textId="34D3DDC1" w:rsidR="00ED3FBF" w:rsidRDefault="00ED3FBF" w:rsidP="005C6E19">
      <w:pPr>
        <w:spacing w:after="0"/>
      </w:pPr>
    </w:p>
    <w:p w14:paraId="328AE178" w14:textId="5C7DFB8F" w:rsidR="00ED3FBF" w:rsidRPr="00ED3FBF" w:rsidRDefault="00AE453E" w:rsidP="005C6E19">
      <w:pPr>
        <w:pStyle w:val="Heading1"/>
        <w:spacing w:before="0"/>
        <w:rPr>
          <w:color w:val="65598E"/>
        </w:rPr>
      </w:pPr>
      <w:bookmarkStart w:id="3" w:name="_Toc112855951"/>
      <w:r>
        <w:rPr>
          <w:noProof/>
        </w:rPr>
        <w:drawing>
          <wp:anchor distT="0" distB="0" distL="114300" distR="114300" simplePos="0" relativeHeight="251658240" behindDoc="0" locked="0" layoutInCell="1" allowOverlap="1" wp14:anchorId="276BDAF4" wp14:editId="7DA0FDAB">
            <wp:simplePos x="0" y="0"/>
            <wp:positionH relativeFrom="margin">
              <wp:align>right</wp:align>
            </wp:positionH>
            <wp:positionV relativeFrom="margin">
              <wp:align>bottom</wp:align>
            </wp:positionV>
            <wp:extent cx="3584325" cy="3600000"/>
            <wp:effectExtent l="0" t="0" r="0" b="635"/>
            <wp:wrapSquare wrapText="bothSides"/>
            <wp:docPr id="1036506876" name="Picture 1" descr="A diagram of a child's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06876" name="Picture 1" descr="A diagram of a child's developmen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584325" cy="3600000"/>
                    </a:xfrm>
                    <a:prstGeom prst="rect">
                      <a:avLst/>
                    </a:prstGeom>
                  </pic:spPr>
                </pic:pic>
              </a:graphicData>
            </a:graphic>
          </wp:anchor>
        </w:drawing>
      </w:r>
      <w:r w:rsidR="00ED3FBF" w:rsidRPr="00ED3FBF">
        <w:rPr>
          <w:color w:val="65598E"/>
        </w:rPr>
        <w:t>4. Quality Assurance in Summary</w:t>
      </w:r>
      <w:bookmarkEnd w:id="3"/>
      <w:r w:rsidR="00ED3FBF" w:rsidRPr="00ED3FBF">
        <w:rPr>
          <w:color w:val="65598E"/>
        </w:rPr>
        <w:t xml:space="preserve"> </w:t>
      </w:r>
    </w:p>
    <w:p w14:paraId="00F1DD53" w14:textId="3D5A87B9" w:rsidR="00966CFA" w:rsidRDefault="00AF0B62" w:rsidP="005C6E19">
      <w:pPr>
        <w:spacing w:after="0"/>
      </w:pPr>
      <w:r w:rsidRPr="00AF0B62">
        <w:t xml:space="preserve">The Quality Assurance Framework for </w:t>
      </w:r>
      <w:r>
        <w:t>MACE</w:t>
      </w:r>
      <w:r w:rsidRPr="00AF0B62">
        <w:t xml:space="preserve"> across </w:t>
      </w:r>
      <w:r>
        <w:t>Lincolnshire</w:t>
      </w:r>
      <w:r w:rsidRPr="00AF0B62">
        <w:t xml:space="preserve"> </w:t>
      </w:r>
      <w:r w:rsidR="00566D90">
        <w:t>ensures</w:t>
      </w:r>
      <w:r w:rsidRPr="00AF0B62">
        <w:t xml:space="preserve"> all activit</w:t>
      </w:r>
      <w:r>
        <w:t>ies</w:t>
      </w:r>
      <w:r w:rsidRPr="00AF0B62">
        <w:t xml:space="preserve"> </w:t>
      </w:r>
      <w:r w:rsidR="00566D90">
        <w:t>are</w:t>
      </w:r>
      <w:r w:rsidRPr="00566D90">
        <w:t xml:space="preserve"> carried out to</w:t>
      </w:r>
      <w:r w:rsidRPr="00AF0B62">
        <w:t xml:space="preserve"> the highest quality. </w:t>
      </w:r>
      <w:r>
        <w:t xml:space="preserve"> </w:t>
      </w:r>
      <w:r w:rsidR="00966CFA" w:rsidRPr="00966CFA">
        <w:t xml:space="preserve">It aims to improve our understanding of whether we are supporting the right children, in the right way, at the right time, to check if we are making a difference to their lives and to identify areas where improvements need to be made. </w:t>
      </w:r>
      <w:r w:rsidR="009C464C">
        <w:t xml:space="preserve"> </w:t>
      </w:r>
      <w:r w:rsidR="00966CFA" w:rsidRPr="00966CFA">
        <w:t>The framework is designed to support a journey of continuous improvement through a strong focus on ensuring the learning from quality assurance informs and shapes our daily practice.</w:t>
      </w:r>
      <w:r w:rsidR="00AE453E" w:rsidRPr="00AE453E">
        <w:rPr>
          <w:noProof/>
        </w:rPr>
        <w:t xml:space="preserve">  </w:t>
      </w:r>
    </w:p>
    <w:p w14:paraId="5AED4C19" w14:textId="0CA3F012" w:rsidR="006C4225" w:rsidRDefault="006C4225" w:rsidP="005C6E19">
      <w:pPr>
        <w:spacing w:after="0"/>
      </w:pPr>
    </w:p>
    <w:p w14:paraId="2CDE4DB9" w14:textId="32F7C141" w:rsidR="006C4225" w:rsidRDefault="006C4225" w:rsidP="005C6E19">
      <w:pPr>
        <w:spacing w:after="0"/>
        <w:sectPr w:rsidR="006C4225" w:rsidSect="006C4225">
          <w:headerReference w:type="default" r:id="rId17"/>
          <w:footerReference w:type="default" r:id="rId18"/>
          <w:pgSz w:w="11906" w:h="16838"/>
          <w:pgMar w:top="720" w:right="720" w:bottom="720" w:left="720" w:header="708" w:footer="708" w:gutter="0"/>
          <w:cols w:space="708"/>
          <w:docGrid w:linePitch="360"/>
        </w:sectPr>
      </w:pPr>
    </w:p>
    <w:tbl>
      <w:tblPr>
        <w:tblStyle w:val="TableGrid"/>
        <w:tblW w:w="5000" w:type="pct"/>
        <w:tblLook w:val="04A0" w:firstRow="1" w:lastRow="0" w:firstColumn="1" w:lastColumn="0" w:noHBand="0" w:noVBand="1"/>
      </w:tblPr>
      <w:tblGrid>
        <w:gridCol w:w="2879"/>
        <w:gridCol w:w="5439"/>
        <w:gridCol w:w="4011"/>
        <w:gridCol w:w="3059"/>
      </w:tblGrid>
      <w:tr w:rsidR="000300E7" w:rsidRPr="006B6956" w14:paraId="073826AE" w14:textId="77777777" w:rsidTr="00B44B3B">
        <w:trPr>
          <w:tblHeader/>
        </w:trPr>
        <w:tc>
          <w:tcPr>
            <w:tcW w:w="935" w:type="pct"/>
            <w:tcBorders>
              <w:bottom w:val="single" w:sz="4" w:space="0" w:color="auto"/>
            </w:tcBorders>
            <w:shd w:val="clear" w:color="auto" w:fill="A39BBB"/>
          </w:tcPr>
          <w:p w14:paraId="0333670D" w14:textId="60DF9401" w:rsidR="000300E7" w:rsidRPr="006B6956" w:rsidRDefault="000300E7">
            <w:pPr>
              <w:jc w:val="center"/>
              <w:rPr>
                <w:b/>
                <w:bCs/>
              </w:rPr>
            </w:pPr>
            <w:r>
              <w:rPr>
                <w:b/>
                <w:bCs/>
              </w:rPr>
              <w:lastRenderedPageBreak/>
              <w:t>Framework Cycle</w:t>
            </w:r>
          </w:p>
        </w:tc>
        <w:tc>
          <w:tcPr>
            <w:tcW w:w="1767" w:type="pct"/>
            <w:tcBorders>
              <w:bottom w:val="single" w:sz="4" w:space="0" w:color="auto"/>
            </w:tcBorders>
            <w:shd w:val="clear" w:color="auto" w:fill="A39BBB"/>
          </w:tcPr>
          <w:p w14:paraId="6B3317ED" w14:textId="43A099A7" w:rsidR="000300E7" w:rsidRPr="006B6956" w:rsidRDefault="000300E7">
            <w:pPr>
              <w:jc w:val="center"/>
              <w:rPr>
                <w:b/>
                <w:bCs/>
              </w:rPr>
            </w:pPr>
            <w:r w:rsidRPr="006B6956">
              <w:rPr>
                <w:b/>
                <w:bCs/>
              </w:rPr>
              <w:t>Outcome</w:t>
            </w:r>
          </w:p>
        </w:tc>
        <w:tc>
          <w:tcPr>
            <w:tcW w:w="1303" w:type="pct"/>
            <w:tcBorders>
              <w:bottom w:val="single" w:sz="4" w:space="0" w:color="auto"/>
            </w:tcBorders>
            <w:shd w:val="clear" w:color="auto" w:fill="A39BBB"/>
          </w:tcPr>
          <w:p w14:paraId="2229C66D" w14:textId="77777777" w:rsidR="000300E7" w:rsidRPr="006B6956" w:rsidRDefault="000300E7">
            <w:pPr>
              <w:jc w:val="center"/>
              <w:rPr>
                <w:b/>
                <w:bCs/>
              </w:rPr>
            </w:pPr>
            <w:r w:rsidRPr="006B6956">
              <w:rPr>
                <w:b/>
                <w:bCs/>
              </w:rPr>
              <w:t>What we do</w:t>
            </w:r>
          </w:p>
        </w:tc>
        <w:tc>
          <w:tcPr>
            <w:tcW w:w="994" w:type="pct"/>
            <w:tcBorders>
              <w:bottom w:val="single" w:sz="4" w:space="0" w:color="auto"/>
            </w:tcBorders>
            <w:shd w:val="clear" w:color="auto" w:fill="A39BBB"/>
          </w:tcPr>
          <w:p w14:paraId="37AE09A8" w14:textId="77777777" w:rsidR="000300E7" w:rsidRPr="006B6956" w:rsidRDefault="000300E7">
            <w:pPr>
              <w:jc w:val="center"/>
              <w:rPr>
                <w:b/>
                <w:bCs/>
              </w:rPr>
            </w:pPr>
            <w:r w:rsidRPr="006B6956">
              <w:rPr>
                <w:b/>
                <w:bCs/>
              </w:rPr>
              <w:t>How we measure</w:t>
            </w:r>
          </w:p>
        </w:tc>
      </w:tr>
      <w:tr w:rsidR="000300E7" w14:paraId="7CBAA4FB" w14:textId="77777777" w:rsidTr="000300E7">
        <w:tc>
          <w:tcPr>
            <w:tcW w:w="935" w:type="pct"/>
            <w:tcBorders>
              <w:bottom w:val="single" w:sz="4" w:space="0" w:color="auto"/>
            </w:tcBorders>
          </w:tcPr>
          <w:p w14:paraId="170EA5EA" w14:textId="43B5D456" w:rsidR="000300E7" w:rsidRDefault="000300E7">
            <w:r w:rsidRPr="00A263BB">
              <w:t>Set Standards – including policies and procedures</w:t>
            </w:r>
          </w:p>
        </w:tc>
        <w:tc>
          <w:tcPr>
            <w:tcW w:w="1767" w:type="pct"/>
            <w:tcBorders>
              <w:bottom w:val="single" w:sz="4" w:space="0" w:color="auto"/>
            </w:tcBorders>
          </w:tcPr>
          <w:p w14:paraId="0FD67665" w14:textId="47828F5E" w:rsidR="000300E7" w:rsidRDefault="000300E7">
            <w:r>
              <w:t>Our processes and tools aid practice rather than drive practice.</w:t>
            </w:r>
          </w:p>
        </w:tc>
        <w:tc>
          <w:tcPr>
            <w:tcW w:w="1303" w:type="pct"/>
            <w:tcBorders>
              <w:bottom w:val="single" w:sz="4" w:space="0" w:color="auto"/>
            </w:tcBorders>
          </w:tcPr>
          <w:p w14:paraId="3188BF68" w14:textId="77777777" w:rsidR="000300E7" w:rsidRPr="00C73459" w:rsidRDefault="000300E7" w:rsidP="005211B9">
            <w:pPr>
              <w:pStyle w:val="ListParagraph"/>
              <w:numPr>
                <w:ilvl w:val="0"/>
                <w:numId w:val="13"/>
              </w:numPr>
              <w:spacing w:line="259" w:lineRule="auto"/>
              <w:ind w:left="454"/>
              <w:rPr>
                <w:b/>
                <w:bCs/>
              </w:rPr>
            </w:pPr>
            <w:r w:rsidRPr="00C73459">
              <w:t xml:space="preserve">Operational processes </w:t>
            </w:r>
            <w:r>
              <w:t>and procedures</w:t>
            </w:r>
          </w:p>
          <w:p w14:paraId="6623D3E4" w14:textId="77777777" w:rsidR="000300E7" w:rsidRPr="00C73459" w:rsidRDefault="000300E7" w:rsidP="005211B9">
            <w:pPr>
              <w:pStyle w:val="ListParagraph"/>
              <w:numPr>
                <w:ilvl w:val="0"/>
                <w:numId w:val="13"/>
              </w:numPr>
              <w:spacing w:line="259" w:lineRule="auto"/>
              <w:ind w:left="454"/>
              <w:rPr>
                <w:b/>
                <w:bCs/>
              </w:rPr>
            </w:pPr>
            <w:r w:rsidRPr="00C73459">
              <w:t>Risk and interventions document</w:t>
            </w:r>
          </w:p>
          <w:p w14:paraId="0784CD3D" w14:textId="77777777" w:rsidR="000300E7" w:rsidRPr="00C73459" w:rsidRDefault="000300E7" w:rsidP="005211B9">
            <w:pPr>
              <w:pStyle w:val="ListParagraph"/>
              <w:numPr>
                <w:ilvl w:val="0"/>
                <w:numId w:val="13"/>
              </w:numPr>
              <w:spacing w:line="259" w:lineRule="auto"/>
              <w:ind w:left="454"/>
              <w:rPr>
                <w:b/>
                <w:bCs/>
              </w:rPr>
            </w:pPr>
            <w:r w:rsidRPr="00C73459">
              <w:t>CE screening tool</w:t>
            </w:r>
            <w:r>
              <w:t xml:space="preserve"> and guidance</w:t>
            </w:r>
          </w:p>
          <w:p w14:paraId="0CC256DC" w14:textId="564A3D22" w:rsidR="000300E7" w:rsidRPr="00C73459" w:rsidRDefault="000300E7" w:rsidP="005211B9">
            <w:pPr>
              <w:pStyle w:val="ListParagraph"/>
              <w:numPr>
                <w:ilvl w:val="0"/>
                <w:numId w:val="13"/>
              </w:numPr>
              <w:spacing w:line="259" w:lineRule="auto"/>
              <w:ind w:left="454"/>
              <w:rPr>
                <w:b/>
                <w:bCs/>
              </w:rPr>
            </w:pPr>
            <w:r w:rsidRPr="00C73459">
              <w:t xml:space="preserve">Regional </w:t>
            </w:r>
            <w:r>
              <w:t>CE S</w:t>
            </w:r>
            <w:r w:rsidRPr="00C73459">
              <w:t>tandards</w:t>
            </w:r>
          </w:p>
          <w:p w14:paraId="168AE428" w14:textId="79183137" w:rsidR="000300E7" w:rsidRPr="006E57B8" w:rsidRDefault="000300E7" w:rsidP="005211B9">
            <w:pPr>
              <w:pStyle w:val="ListParagraph"/>
              <w:numPr>
                <w:ilvl w:val="0"/>
                <w:numId w:val="13"/>
              </w:numPr>
              <w:spacing w:line="259" w:lineRule="auto"/>
              <w:ind w:left="454"/>
              <w:rPr>
                <w:b/>
                <w:bCs/>
              </w:rPr>
            </w:pPr>
            <w:r w:rsidRPr="00C73459">
              <w:t xml:space="preserve">Best practice guidance – including disruption </w:t>
            </w:r>
            <w:r>
              <w:t xml:space="preserve">national and local </w:t>
            </w:r>
            <w:r w:rsidRPr="00C73459">
              <w:t>guidance</w:t>
            </w:r>
            <w:r>
              <w:t>/toolkits</w:t>
            </w:r>
          </w:p>
        </w:tc>
        <w:tc>
          <w:tcPr>
            <w:tcW w:w="994" w:type="pct"/>
            <w:tcBorders>
              <w:bottom w:val="single" w:sz="4" w:space="0" w:color="auto"/>
            </w:tcBorders>
          </w:tcPr>
          <w:p w14:paraId="695F88C7" w14:textId="0909A497" w:rsidR="000300E7" w:rsidRDefault="000300E7" w:rsidP="005211B9">
            <w:pPr>
              <w:pStyle w:val="ListParagraph"/>
              <w:numPr>
                <w:ilvl w:val="0"/>
                <w:numId w:val="13"/>
              </w:numPr>
              <w:ind w:left="454"/>
            </w:pPr>
            <w:r>
              <w:t>Data Reports</w:t>
            </w:r>
          </w:p>
          <w:p w14:paraId="0D6F8C67" w14:textId="454F5CAA" w:rsidR="000300E7" w:rsidRDefault="000300E7" w:rsidP="00540950">
            <w:pPr>
              <w:pStyle w:val="ListParagraph"/>
              <w:numPr>
                <w:ilvl w:val="0"/>
                <w:numId w:val="13"/>
              </w:numPr>
              <w:ind w:left="454"/>
            </w:pPr>
            <w:r>
              <w:t>Audits activity</w:t>
            </w:r>
          </w:p>
        </w:tc>
      </w:tr>
      <w:tr w:rsidR="000300E7" w14:paraId="3FD2CA9A" w14:textId="77777777" w:rsidTr="000300E7">
        <w:tc>
          <w:tcPr>
            <w:tcW w:w="935" w:type="pct"/>
            <w:tcBorders>
              <w:bottom w:val="single" w:sz="4" w:space="0" w:color="auto"/>
            </w:tcBorders>
          </w:tcPr>
          <w:p w14:paraId="6958587A" w14:textId="4242B0C5" w:rsidR="000300E7" w:rsidRDefault="000300E7">
            <w:r w:rsidRPr="00336CB9">
              <w:t>Deliver training, policy, and guidance to improve practice</w:t>
            </w:r>
          </w:p>
        </w:tc>
        <w:tc>
          <w:tcPr>
            <w:tcW w:w="1767" w:type="pct"/>
            <w:tcBorders>
              <w:bottom w:val="single" w:sz="4" w:space="0" w:color="auto"/>
            </w:tcBorders>
          </w:tcPr>
          <w:p w14:paraId="2567A799" w14:textId="648117FF" w:rsidR="000300E7" w:rsidRDefault="000300E7">
            <w:r>
              <w:t>Our training, policies and procedures promote a greater understanding of the risks and vulnerabilities of children experiencing (or at risk of) exploitation.</w:t>
            </w:r>
          </w:p>
          <w:p w14:paraId="14955C18" w14:textId="77777777" w:rsidR="000300E7" w:rsidRDefault="000300E7"/>
          <w:p w14:paraId="40FAD172" w14:textId="77777777" w:rsidR="000300E7" w:rsidRDefault="000300E7">
            <w:r>
              <w:t xml:space="preserve">Practitioners say the training and guidance equips them sufficiently to support children experiencing (or who are at risk of experiencing) exploitation. </w:t>
            </w:r>
          </w:p>
          <w:p w14:paraId="7141DC40" w14:textId="77777777" w:rsidR="000300E7" w:rsidRDefault="000300E7"/>
          <w:p w14:paraId="06AB7B4A" w14:textId="77777777" w:rsidR="000300E7" w:rsidRDefault="000300E7">
            <w:r>
              <w:t>All key stakeholders are engaged in how to promote the safety of children experiencing (or at risk of) exploitation.</w:t>
            </w:r>
          </w:p>
          <w:p w14:paraId="7BA5790E" w14:textId="77777777" w:rsidR="000300E7" w:rsidRDefault="000300E7"/>
          <w:p w14:paraId="1622109D" w14:textId="33DC13C7" w:rsidR="000300E7" w:rsidRDefault="000300E7">
            <w:r>
              <w:t>The purpose and function of Operational MACE is understood along with an understanding of what needs to happen to disrupt exploitation in the community.</w:t>
            </w:r>
          </w:p>
        </w:tc>
        <w:tc>
          <w:tcPr>
            <w:tcW w:w="1303" w:type="pct"/>
            <w:tcBorders>
              <w:bottom w:val="single" w:sz="4" w:space="0" w:color="auto"/>
            </w:tcBorders>
          </w:tcPr>
          <w:p w14:paraId="33E41AB2" w14:textId="30251274" w:rsidR="000300E7" w:rsidRDefault="000300E7" w:rsidP="005211B9">
            <w:pPr>
              <w:pStyle w:val="ListParagraph"/>
              <w:numPr>
                <w:ilvl w:val="0"/>
                <w:numId w:val="13"/>
              </w:numPr>
              <w:ind w:left="454"/>
            </w:pPr>
            <w:r>
              <w:t>LSCP training pathways</w:t>
            </w:r>
          </w:p>
          <w:p w14:paraId="50E0F954" w14:textId="1941AF34" w:rsidR="000300E7" w:rsidRDefault="000300E7" w:rsidP="005211B9">
            <w:pPr>
              <w:pStyle w:val="ListParagraph"/>
              <w:numPr>
                <w:ilvl w:val="0"/>
                <w:numId w:val="13"/>
              </w:numPr>
              <w:ind w:left="454"/>
            </w:pPr>
            <w:r>
              <w:t>LSCP policies and procedures</w:t>
            </w:r>
          </w:p>
          <w:p w14:paraId="61C9DD1C" w14:textId="07EB272D" w:rsidR="000300E7" w:rsidRDefault="000300E7" w:rsidP="005211B9">
            <w:pPr>
              <w:pStyle w:val="ListParagraph"/>
              <w:numPr>
                <w:ilvl w:val="0"/>
                <w:numId w:val="13"/>
              </w:numPr>
              <w:ind w:left="454"/>
            </w:pPr>
            <w:r>
              <w:t>In house agency training</w:t>
            </w:r>
          </w:p>
          <w:p w14:paraId="183473F6" w14:textId="634A8F2F" w:rsidR="000300E7" w:rsidRDefault="000300E7" w:rsidP="005211B9">
            <w:pPr>
              <w:pStyle w:val="ListParagraph"/>
              <w:numPr>
                <w:ilvl w:val="0"/>
                <w:numId w:val="13"/>
              </w:numPr>
              <w:ind w:left="454"/>
            </w:pPr>
            <w:r>
              <w:t>Sharing best practice – communication</w:t>
            </w:r>
          </w:p>
          <w:p w14:paraId="2F51505A" w14:textId="3E63F3DD" w:rsidR="000300E7" w:rsidRDefault="000300E7" w:rsidP="005211B9">
            <w:pPr>
              <w:pStyle w:val="ListParagraph"/>
              <w:numPr>
                <w:ilvl w:val="0"/>
                <w:numId w:val="13"/>
              </w:numPr>
              <w:ind w:left="454"/>
            </w:pPr>
            <w:r>
              <w:t xml:space="preserve">Campaigns and wider communication – i.e. social media to raise the </w:t>
            </w:r>
            <w:proofErr w:type="gramStart"/>
            <w:r>
              <w:t>profile</w:t>
            </w:r>
            <w:proofErr w:type="gramEnd"/>
          </w:p>
          <w:p w14:paraId="5D845812" w14:textId="1B8F2D72" w:rsidR="000300E7" w:rsidRDefault="000300E7" w:rsidP="005211B9">
            <w:pPr>
              <w:pStyle w:val="ListParagraph"/>
              <w:numPr>
                <w:ilvl w:val="0"/>
                <w:numId w:val="13"/>
              </w:numPr>
              <w:ind w:left="454"/>
            </w:pPr>
            <w:r>
              <w:t>Guidance to parents/carers</w:t>
            </w:r>
          </w:p>
          <w:p w14:paraId="3933A067" w14:textId="5ECF1ED1" w:rsidR="000300E7" w:rsidRDefault="000300E7" w:rsidP="005211B9">
            <w:pPr>
              <w:pStyle w:val="ListParagraph"/>
              <w:numPr>
                <w:ilvl w:val="0"/>
                <w:numId w:val="13"/>
              </w:numPr>
              <w:ind w:left="454"/>
            </w:pPr>
            <w:r>
              <w:t>Stay Safe Partnership (YP)</w:t>
            </w:r>
          </w:p>
          <w:p w14:paraId="0C9D5E8C" w14:textId="4ADE1ECD" w:rsidR="000300E7" w:rsidRDefault="000300E7" w:rsidP="005211B9">
            <w:pPr>
              <w:pStyle w:val="ListParagraph"/>
              <w:numPr>
                <w:ilvl w:val="0"/>
                <w:numId w:val="13"/>
              </w:numPr>
              <w:ind w:left="454"/>
            </w:pPr>
            <w:r>
              <w:t>Intervention tools &amp; resources</w:t>
            </w:r>
          </w:p>
          <w:p w14:paraId="0C40CD25" w14:textId="4650875F" w:rsidR="000300E7" w:rsidRDefault="000300E7" w:rsidP="005211B9">
            <w:pPr>
              <w:pStyle w:val="ListParagraph"/>
              <w:numPr>
                <w:ilvl w:val="0"/>
                <w:numId w:val="13"/>
              </w:numPr>
              <w:ind w:left="454"/>
            </w:pPr>
            <w:r>
              <w:t>Dedicated MACE training for core panel members</w:t>
            </w:r>
          </w:p>
          <w:p w14:paraId="2D0AC555" w14:textId="77777777" w:rsidR="000300E7" w:rsidRDefault="000300E7" w:rsidP="005211B9">
            <w:pPr>
              <w:pStyle w:val="ListParagraph"/>
              <w:ind w:left="454"/>
            </w:pPr>
          </w:p>
        </w:tc>
        <w:tc>
          <w:tcPr>
            <w:tcW w:w="994" w:type="pct"/>
            <w:tcBorders>
              <w:bottom w:val="single" w:sz="4" w:space="0" w:color="auto"/>
            </w:tcBorders>
          </w:tcPr>
          <w:p w14:paraId="11410CE6" w14:textId="14969917" w:rsidR="000300E7" w:rsidRDefault="000300E7" w:rsidP="005211B9">
            <w:pPr>
              <w:pStyle w:val="ListParagraph"/>
              <w:numPr>
                <w:ilvl w:val="0"/>
                <w:numId w:val="13"/>
              </w:numPr>
              <w:ind w:left="454"/>
            </w:pPr>
            <w:r>
              <w:t xml:space="preserve">Training records for multi-agency training – including evaluation </w:t>
            </w:r>
            <w:proofErr w:type="gramStart"/>
            <w:r>
              <w:t>forms</w:t>
            </w:r>
            <w:proofErr w:type="gramEnd"/>
          </w:p>
          <w:p w14:paraId="001F7F7D" w14:textId="77777777" w:rsidR="000300E7" w:rsidRDefault="000300E7" w:rsidP="005211B9">
            <w:pPr>
              <w:pStyle w:val="ListParagraph"/>
              <w:numPr>
                <w:ilvl w:val="0"/>
                <w:numId w:val="13"/>
              </w:numPr>
              <w:ind w:left="454"/>
            </w:pPr>
            <w:r>
              <w:t>Audit activity</w:t>
            </w:r>
          </w:p>
          <w:p w14:paraId="536A999A" w14:textId="77777777" w:rsidR="000300E7" w:rsidRDefault="000300E7" w:rsidP="005211B9">
            <w:pPr>
              <w:pStyle w:val="ListParagraph"/>
              <w:numPr>
                <w:ilvl w:val="0"/>
                <w:numId w:val="13"/>
              </w:numPr>
              <w:ind w:left="454"/>
            </w:pPr>
            <w:r>
              <w:t>Stakeholder engagement survey</w:t>
            </w:r>
          </w:p>
          <w:p w14:paraId="3B9395D1" w14:textId="77777777" w:rsidR="000300E7" w:rsidRDefault="000300E7" w:rsidP="005211B9">
            <w:pPr>
              <w:pStyle w:val="ListParagraph"/>
              <w:numPr>
                <w:ilvl w:val="0"/>
                <w:numId w:val="13"/>
              </w:numPr>
              <w:ind w:left="454"/>
            </w:pPr>
            <w:r>
              <w:t>Policy Impact Assessments</w:t>
            </w:r>
          </w:p>
          <w:p w14:paraId="27E7583B" w14:textId="77777777" w:rsidR="000300E7" w:rsidRDefault="000300E7" w:rsidP="005211B9">
            <w:pPr>
              <w:ind w:left="454"/>
            </w:pPr>
          </w:p>
          <w:p w14:paraId="71309916" w14:textId="77777777" w:rsidR="000300E7" w:rsidRDefault="000300E7" w:rsidP="005211B9">
            <w:pPr>
              <w:ind w:left="454"/>
            </w:pPr>
          </w:p>
        </w:tc>
      </w:tr>
      <w:tr w:rsidR="000300E7" w14:paraId="6643B139" w14:textId="77777777" w:rsidTr="000300E7">
        <w:tc>
          <w:tcPr>
            <w:tcW w:w="935" w:type="pct"/>
            <w:tcBorders>
              <w:bottom w:val="single" w:sz="4" w:space="0" w:color="auto"/>
            </w:tcBorders>
          </w:tcPr>
          <w:p w14:paraId="09521919" w14:textId="56A89954" w:rsidR="000300E7" w:rsidRDefault="000300E7">
            <w:r w:rsidRPr="00DE6CE4">
              <w:t>Monitor, audit, gather information, analyse and evaluate</w:t>
            </w:r>
          </w:p>
        </w:tc>
        <w:tc>
          <w:tcPr>
            <w:tcW w:w="1767" w:type="pct"/>
            <w:tcBorders>
              <w:bottom w:val="single" w:sz="4" w:space="0" w:color="auto"/>
            </w:tcBorders>
          </w:tcPr>
          <w:p w14:paraId="15E2A951" w14:textId="504AA71A" w:rsidR="000300E7" w:rsidRDefault="000300E7">
            <w:r>
              <w:t>We understand the processes and rationale which contributes to the identification and disruption of exploitation.  This includes:</w:t>
            </w:r>
          </w:p>
          <w:p w14:paraId="33864DA9" w14:textId="77777777" w:rsidR="000300E7" w:rsidRDefault="000300E7"/>
          <w:p w14:paraId="425E1FF1" w14:textId="1641947C" w:rsidR="000300E7" w:rsidRDefault="000300E7" w:rsidP="005211B9">
            <w:pPr>
              <w:pStyle w:val="ListParagraph"/>
              <w:numPr>
                <w:ilvl w:val="0"/>
                <w:numId w:val="14"/>
              </w:numPr>
              <w:ind w:left="465"/>
            </w:pPr>
            <w:r>
              <w:t>U</w:t>
            </w:r>
            <w:r w:rsidRPr="009922A6">
              <w:t>nderstand</w:t>
            </w:r>
            <w:r>
              <w:t>ing</w:t>
            </w:r>
            <w:r w:rsidRPr="009922A6">
              <w:t xml:space="preserve"> from practitioners why they have completed CE Screening tools, how they identify the concerns, and who do they consult</w:t>
            </w:r>
            <w:r w:rsidR="005663A4">
              <w:t>,</w:t>
            </w:r>
          </w:p>
          <w:p w14:paraId="2FFC2855" w14:textId="6CEA1A9B" w:rsidR="000300E7" w:rsidRDefault="000300E7" w:rsidP="005211B9">
            <w:pPr>
              <w:pStyle w:val="ListParagraph"/>
              <w:numPr>
                <w:ilvl w:val="0"/>
                <w:numId w:val="14"/>
              </w:numPr>
              <w:ind w:left="465"/>
            </w:pPr>
            <w:r w:rsidRPr="009922A6">
              <w:t>What steps are taken to safeguard the child during the referral process</w:t>
            </w:r>
            <w:r w:rsidR="005663A4">
              <w:t>,</w:t>
            </w:r>
          </w:p>
          <w:p w14:paraId="77A41F2A" w14:textId="6C0BAA09" w:rsidR="000300E7" w:rsidRDefault="000300E7" w:rsidP="005211B9">
            <w:pPr>
              <w:pStyle w:val="ListParagraph"/>
              <w:numPr>
                <w:ilvl w:val="0"/>
                <w:numId w:val="14"/>
              </w:numPr>
              <w:ind w:left="465"/>
            </w:pPr>
            <w:r w:rsidRPr="009922A6">
              <w:lastRenderedPageBreak/>
              <w:t xml:space="preserve">Where do the concerns </w:t>
            </w:r>
            <w:r>
              <w:t xml:space="preserve">come </w:t>
            </w:r>
            <w:r w:rsidRPr="009922A6">
              <w:t>from – observed behaviours, intelligence, mapping, disclosures</w:t>
            </w:r>
            <w:r w:rsidR="005663A4">
              <w:t>,</w:t>
            </w:r>
          </w:p>
          <w:p w14:paraId="12ABC8D7" w14:textId="7062B834" w:rsidR="000300E7" w:rsidRDefault="000300E7" w:rsidP="005211B9">
            <w:pPr>
              <w:pStyle w:val="ListParagraph"/>
              <w:numPr>
                <w:ilvl w:val="0"/>
                <w:numId w:val="14"/>
              </w:numPr>
              <w:ind w:left="465"/>
            </w:pPr>
            <w:r w:rsidRPr="009922A6">
              <w:t>Where does practitioner knowledge on CE come from</w:t>
            </w:r>
            <w:r w:rsidR="005663A4">
              <w:t>.</w:t>
            </w:r>
          </w:p>
          <w:p w14:paraId="2020D37D" w14:textId="77777777" w:rsidR="000300E7" w:rsidRDefault="000300E7" w:rsidP="00DE6CE4">
            <w:pPr>
              <w:ind w:left="105"/>
            </w:pPr>
          </w:p>
          <w:p w14:paraId="4ADA7888" w14:textId="62EDAD20" w:rsidR="000300E7" w:rsidRDefault="000300E7" w:rsidP="00DE6CE4">
            <w:r>
              <w:t>We collect and analyse data to build a multi-agency picture of exploitation in Lincolnshire</w:t>
            </w:r>
            <w:r w:rsidR="00EA26BE">
              <w:t xml:space="preserve"> and monitor performance</w:t>
            </w:r>
            <w:r>
              <w:t>.</w:t>
            </w:r>
          </w:p>
          <w:p w14:paraId="3A4ED771" w14:textId="77777777" w:rsidR="000300E7" w:rsidRDefault="000300E7" w:rsidP="00DE6CE4"/>
          <w:p w14:paraId="7DABE250" w14:textId="63489CDB" w:rsidR="000300E7" w:rsidRDefault="000300E7" w:rsidP="00DE6CE4">
            <w:r>
              <w:t xml:space="preserve">Our data sets are </w:t>
            </w:r>
            <w:r w:rsidR="008A7E2E">
              <w:t xml:space="preserve">amalgamated form </w:t>
            </w:r>
            <w:r>
              <w:t>across the partnership to build a clear picture of prevalence.</w:t>
            </w:r>
          </w:p>
          <w:p w14:paraId="46161637" w14:textId="77777777" w:rsidR="000300E7" w:rsidRDefault="000300E7" w:rsidP="00DE6CE4"/>
          <w:p w14:paraId="6E4C89BD" w14:textId="585F1F42" w:rsidR="000300E7" w:rsidRDefault="000300E7" w:rsidP="00EA26BE">
            <w:r>
              <w:t>Analytical reports are shared across the partnership to support frontline teams in safeguarding and disrupting against exploitation.</w:t>
            </w:r>
          </w:p>
        </w:tc>
        <w:tc>
          <w:tcPr>
            <w:tcW w:w="1303" w:type="pct"/>
            <w:tcBorders>
              <w:bottom w:val="single" w:sz="4" w:space="0" w:color="auto"/>
            </w:tcBorders>
          </w:tcPr>
          <w:p w14:paraId="094CFEB1" w14:textId="173F6696" w:rsidR="000300E7" w:rsidRPr="00757393" w:rsidRDefault="000300E7" w:rsidP="005211B9">
            <w:pPr>
              <w:numPr>
                <w:ilvl w:val="0"/>
                <w:numId w:val="13"/>
              </w:numPr>
              <w:ind w:left="454"/>
              <w:rPr>
                <w:b/>
                <w:bCs/>
              </w:rPr>
            </w:pPr>
            <w:r w:rsidRPr="00757393">
              <w:lastRenderedPageBreak/>
              <w:t xml:space="preserve">LSCP Data Analyst </w:t>
            </w:r>
            <w:proofErr w:type="gramStart"/>
            <w:r w:rsidR="00981E09">
              <w:t>appointed</w:t>
            </w:r>
            <w:proofErr w:type="gramEnd"/>
          </w:p>
          <w:p w14:paraId="69D3767C" w14:textId="5CCF37B5" w:rsidR="000300E7" w:rsidRPr="00757393" w:rsidRDefault="000300E7" w:rsidP="005211B9">
            <w:pPr>
              <w:numPr>
                <w:ilvl w:val="0"/>
                <w:numId w:val="13"/>
              </w:numPr>
              <w:ind w:left="454"/>
              <w:rPr>
                <w:b/>
                <w:bCs/>
              </w:rPr>
            </w:pPr>
            <w:r w:rsidRPr="00757393">
              <w:t>Children’s Society – missing children audit tool</w:t>
            </w:r>
          </w:p>
          <w:p w14:paraId="70755700" w14:textId="14990DEC" w:rsidR="000300E7" w:rsidRPr="00757393" w:rsidRDefault="000300E7" w:rsidP="005211B9">
            <w:pPr>
              <w:numPr>
                <w:ilvl w:val="0"/>
                <w:numId w:val="13"/>
              </w:numPr>
              <w:ind w:left="454"/>
              <w:rPr>
                <w:b/>
                <w:bCs/>
              </w:rPr>
            </w:pPr>
            <w:r w:rsidRPr="00757393">
              <w:t>Meetings and joint working with networks</w:t>
            </w:r>
          </w:p>
          <w:p w14:paraId="609780AD" w14:textId="7A10D0C9" w:rsidR="000300E7" w:rsidRPr="00757393" w:rsidRDefault="000300E7" w:rsidP="005211B9">
            <w:pPr>
              <w:numPr>
                <w:ilvl w:val="0"/>
                <w:numId w:val="13"/>
              </w:numPr>
              <w:ind w:left="454"/>
              <w:rPr>
                <w:b/>
                <w:bCs/>
              </w:rPr>
            </w:pPr>
            <w:r w:rsidRPr="00757393">
              <w:t>Data sharing in terms of data collection and analysis tools</w:t>
            </w:r>
          </w:p>
          <w:p w14:paraId="2F30596C" w14:textId="0668F315" w:rsidR="000300E7" w:rsidRPr="00757393" w:rsidRDefault="000300E7" w:rsidP="005211B9">
            <w:pPr>
              <w:numPr>
                <w:ilvl w:val="0"/>
                <w:numId w:val="13"/>
              </w:numPr>
              <w:ind w:left="454"/>
              <w:rPr>
                <w:b/>
                <w:bCs/>
              </w:rPr>
            </w:pPr>
            <w:r w:rsidRPr="00757393">
              <w:t xml:space="preserve">Case studies (what tools do we have specific to CE/Missing) looking at positive </w:t>
            </w:r>
            <w:proofErr w:type="gramStart"/>
            <w:r w:rsidRPr="00757393">
              <w:t>practice</w:t>
            </w:r>
            <w:proofErr w:type="gramEnd"/>
          </w:p>
          <w:p w14:paraId="6CE33F47" w14:textId="0342164B" w:rsidR="000300E7" w:rsidRPr="00757393" w:rsidRDefault="000300E7" w:rsidP="005211B9">
            <w:pPr>
              <w:numPr>
                <w:ilvl w:val="0"/>
                <w:numId w:val="13"/>
              </w:numPr>
              <w:ind w:left="454"/>
              <w:rPr>
                <w:b/>
                <w:bCs/>
              </w:rPr>
            </w:pPr>
            <w:r w:rsidRPr="00757393">
              <w:lastRenderedPageBreak/>
              <w:t>Use of ‘mapping’ tools and approaches</w:t>
            </w:r>
          </w:p>
          <w:p w14:paraId="0EAA1513" w14:textId="77777777" w:rsidR="000300E7" w:rsidRDefault="000300E7" w:rsidP="00DE6CE4">
            <w:pPr>
              <w:numPr>
                <w:ilvl w:val="0"/>
                <w:numId w:val="13"/>
              </w:numPr>
              <w:ind w:left="454"/>
            </w:pPr>
            <w:r w:rsidRPr="00757393">
              <w:t>County lines vulnerability tracker</w:t>
            </w:r>
          </w:p>
          <w:p w14:paraId="34EE6FCE" w14:textId="575A4129" w:rsidR="000300E7" w:rsidRPr="00DE6CE4" w:rsidRDefault="000300E7" w:rsidP="004D627F">
            <w:pPr>
              <w:numPr>
                <w:ilvl w:val="0"/>
                <w:numId w:val="13"/>
              </w:numPr>
              <w:ind w:left="454"/>
            </w:pPr>
            <w:r>
              <w:t>LSCP Performance Scorecard</w:t>
            </w:r>
          </w:p>
        </w:tc>
        <w:tc>
          <w:tcPr>
            <w:tcW w:w="994" w:type="pct"/>
            <w:tcBorders>
              <w:bottom w:val="single" w:sz="4" w:space="0" w:color="auto"/>
            </w:tcBorders>
          </w:tcPr>
          <w:p w14:paraId="7C3B1E3C" w14:textId="6A36DB3D" w:rsidR="00085EE4" w:rsidRDefault="00085EE4" w:rsidP="00085EE4">
            <w:pPr>
              <w:pStyle w:val="ListParagraph"/>
              <w:numPr>
                <w:ilvl w:val="0"/>
                <w:numId w:val="13"/>
              </w:numPr>
              <w:ind w:left="454"/>
            </w:pPr>
            <w:r>
              <w:lastRenderedPageBreak/>
              <w:t xml:space="preserve">Attendance </w:t>
            </w:r>
            <w:r w:rsidR="004D627F">
              <w:t>and</w:t>
            </w:r>
            <w:r>
              <w:t xml:space="preserve"> MACE action tracking</w:t>
            </w:r>
          </w:p>
          <w:p w14:paraId="61FE3621" w14:textId="2EF278F7" w:rsidR="00635C42" w:rsidRDefault="00635C42" w:rsidP="00085EE4">
            <w:pPr>
              <w:pStyle w:val="ListParagraph"/>
              <w:numPr>
                <w:ilvl w:val="0"/>
                <w:numId w:val="13"/>
              </w:numPr>
              <w:ind w:left="454"/>
            </w:pPr>
            <w:r>
              <w:t xml:space="preserve">Return Home Interview and Missing Episodes Meetings (3 in 90) </w:t>
            </w:r>
            <w:r w:rsidR="008B6603">
              <w:t xml:space="preserve">are </w:t>
            </w:r>
            <w:proofErr w:type="gramStart"/>
            <w:r w:rsidR="008B6603">
              <w:t>tracked</w:t>
            </w:r>
            <w:proofErr w:type="gramEnd"/>
          </w:p>
          <w:p w14:paraId="3A440681" w14:textId="27176756" w:rsidR="000300E7" w:rsidRPr="00757393" w:rsidRDefault="000300E7" w:rsidP="005211B9">
            <w:pPr>
              <w:numPr>
                <w:ilvl w:val="0"/>
                <w:numId w:val="13"/>
              </w:numPr>
              <w:ind w:left="454"/>
              <w:rPr>
                <w:b/>
                <w:bCs/>
              </w:rPr>
            </w:pPr>
            <w:r w:rsidRPr="00757393">
              <w:t>Multi-agency audits</w:t>
            </w:r>
          </w:p>
          <w:p w14:paraId="5EBA6671" w14:textId="77777777" w:rsidR="000300E7" w:rsidRPr="00757393" w:rsidRDefault="000300E7" w:rsidP="005211B9">
            <w:pPr>
              <w:numPr>
                <w:ilvl w:val="0"/>
                <w:numId w:val="13"/>
              </w:numPr>
              <w:ind w:left="454"/>
              <w:rPr>
                <w:b/>
                <w:bCs/>
              </w:rPr>
            </w:pPr>
            <w:r w:rsidRPr="00757393">
              <w:t xml:space="preserve">Practitioner feedback/survey – those referring to </w:t>
            </w:r>
            <w:proofErr w:type="gramStart"/>
            <w:r w:rsidRPr="00757393">
              <w:t>MACE</w:t>
            </w:r>
            <w:proofErr w:type="gramEnd"/>
          </w:p>
          <w:p w14:paraId="2FF8E640" w14:textId="47E40C48" w:rsidR="000300E7" w:rsidRPr="00D14CD1" w:rsidRDefault="000300E7" w:rsidP="005211B9">
            <w:pPr>
              <w:numPr>
                <w:ilvl w:val="0"/>
                <w:numId w:val="13"/>
              </w:numPr>
              <w:ind w:left="454"/>
              <w:rPr>
                <w:b/>
                <w:bCs/>
              </w:rPr>
            </w:pPr>
            <w:r w:rsidRPr="00757393">
              <w:lastRenderedPageBreak/>
              <w:t>Wider stakeholder feedback/survey</w:t>
            </w:r>
          </w:p>
          <w:p w14:paraId="4D5A657A" w14:textId="4149D713" w:rsidR="000300E7" w:rsidRDefault="000300E7" w:rsidP="005211B9">
            <w:pPr>
              <w:numPr>
                <w:ilvl w:val="0"/>
                <w:numId w:val="13"/>
              </w:numPr>
              <w:ind w:left="454"/>
            </w:pPr>
            <w:r w:rsidRPr="00D14CD1">
              <w:t>Data and performance reports</w:t>
            </w:r>
          </w:p>
        </w:tc>
      </w:tr>
      <w:tr w:rsidR="000300E7" w14:paraId="0A674B0C" w14:textId="77777777" w:rsidTr="000300E7">
        <w:tc>
          <w:tcPr>
            <w:tcW w:w="935" w:type="pct"/>
          </w:tcPr>
          <w:p w14:paraId="2D92D6F7" w14:textId="3D1B7BD4" w:rsidR="000300E7" w:rsidRDefault="000300E7">
            <w:r w:rsidRPr="00BA0D8F">
              <w:lastRenderedPageBreak/>
              <w:t>Identify and embed improvements needed in practice, policy, and procedures/guidance</w:t>
            </w:r>
          </w:p>
        </w:tc>
        <w:tc>
          <w:tcPr>
            <w:tcW w:w="1767" w:type="pct"/>
          </w:tcPr>
          <w:p w14:paraId="40651757" w14:textId="5AA73E89" w:rsidR="000300E7" w:rsidRDefault="000300E7">
            <w:r>
              <w:t>Improvements are identified through robust quality assurance processes including a range of qualitative and quantitative sources.</w:t>
            </w:r>
          </w:p>
          <w:p w14:paraId="013D2918" w14:textId="77777777" w:rsidR="000300E7" w:rsidRDefault="000300E7"/>
          <w:p w14:paraId="225E31F2" w14:textId="36B8627E" w:rsidR="000300E7" w:rsidRDefault="000300E7">
            <w:r>
              <w:t>Improvements and developments draw on current research and best practice guidance.</w:t>
            </w:r>
          </w:p>
          <w:p w14:paraId="12AEDB8C" w14:textId="77777777" w:rsidR="000300E7" w:rsidRDefault="000300E7"/>
          <w:p w14:paraId="5929458A" w14:textId="7A4EA90D" w:rsidR="000300E7" w:rsidRDefault="000300E7">
            <w:r>
              <w:t>The LSCP is assured that improvements and developments are embedded fully and effectively.</w:t>
            </w:r>
          </w:p>
        </w:tc>
        <w:tc>
          <w:tcPr>
            <w:tcW w:w="1303" w:type="pct"/>
          </w:tcPr>
          <w:p w14:paraId="1F5D9FC1" w14:textId="77777777" w:rsidR="000300E7" w:rsidRDefault="000300E7" w:rsidP="005211B9">
            <w:pPr>
              <w:numPr>
                <w:ilvl w:val="0"/>
                <w:numId w:val="13"/>
              </w:numPr>
              <w:ind w:left="454"/>
            </w:pPr>
            <w:r>
              <w:t>Policy impact assessments</w:t>
            </w:r>
          </w:p>
          <w:p w14:paraId="65C67E63" w14:textId="2CA9D568" w:rsidR="000300E7" w:rsidRDefault="003F5EA7" w:rsidP="005211B9">
            <w:pPr>
              <w:numPr>
                <w:ilvl w:val="0"/>
                <w:numId w:val="13"/>
              </w:numPr>
              <w:ind w:left="454"/>
            </w:pPr>
            <w:r>
              <w:t>Operational CEM</w:t>
            </w:r>
            <w:r w:rsidR="000300E7">
              <w:t xml:space="preserve"> </w:t>
            </w:r>
            <w:r>
              <w:t>S</w:t>
            </w:r>
            <w:r w:rsidR="000300E7">
              <w:t xml:space="preserve">teering </w:t>
            </w:r>
            <w:r>
              <w:t>G</w:t>
            </w:r>
            <w:r w:rsidR="000300E7">
              <w:t>roup</w:t>
            </w:r>
            <w:r w:rsidR="003E01AD">
              <w:t xml:space="preserve"> &amp; Strategic CEM Sub-Group</w:t>
            </w:r>
          </w:p>
          <w:p w14:paraId="0AEB7C8D" w14:textId="0538331E" w:rsidR="000300E7" w:rsidRDefault="000300E7" w:rsidP="005211B9">
            <w:pPr>
              <w:numPr>
                <w:ilvl w:val="0"/>
                <w:numId w:val="13"/>
              </w:numPr>
              <w:ind w:left="454"/>
            </w:pPr>
            <w:r>
              <w:t>Data and live reporting</w:t>
            </w:r>
          </w:p>
          <w:p w14:paraId="0715E5DF" w14:textId="580DB8D9" w:rsidR="000300E7" w:rsidRPr="00C73459" w:rsidRDefault="000300E7" w:rsidP="005211B9">
            <w:pPr>
              <w:pStyle w:val="ListParagraph"/>
              <w:numPr>
                <w:ilvl w:val="0"/>
                <w:numId w:val="13"/>
              </w:numPr>
              <w:spacing w:line="259" w:lineRule="auto"/>
              <w:ind w:left="454"/>
              <w:rPr>
                <w:b/>
                <w:bCs/>
              </w:rPr>
            </w:pPr>
            <w:r>
              <w:t>Clear lines of accountability</w:t>
            </w:r>
          </w:p>
          <w:p w14:paraId="6E205BC6" w14:textId="452A1404" w:rsidR="000300E7" w:rsidRPr="00937A42" w:rsidRDefault="000300E7" w:rsidP="005211B9">
            <w:pPr>
              <w:pStyle w:val="ListParagraph"/>
              <w:numPr>
                <w:ilvl w:val="0"/>
                <w:numId w:val="13"/>
              </w:numPr>
              <w:spacing w:line="259" w:lineRule="auto"/>
              <w:ind w:left="454"/>
            </w:pPr>
            <w:r>
              <w:t xml:space="preserve">Maintain a </w:t>
            </w:r>
            <w:r w:rsidRPr="00C73459">
              <w:t>comm</w:t>
            </w:r>
            <w:r>
              <w:t>unication s</w:t>
            </w:r>
            <w:r w:rsidRPr="00C73459">
              <w:t xml:space="preserve">trategy </w:t>
            </w:r>
            <w:r>
              <w:t xml:space="preserve">to disseminate information across the </w:t>
            </w:r>
            <w:proofErr w:type="gramStart"/>
            <w:r>
              <w:t>partnership</w:t>
            </w:r>
            <w:proofErr w:type="gramEnd"/>
          </w:p>
          <w:p w14:paraId="6A6DAADF" w14:textId="77777777" w:rsidR="000300E7" w:rsidRPr="006E57B8" w:rsidRDefault="000300E7" w:rsidP="005211B9">
            <w:pPr>
              <w:pStyle w:val="ListParagraph"/>
              <w:numPr>
                <w:ilvl w:val="0"/>
                <w:numId w:val="13"/>
              </w:numPr>
              <w:spacing w:line="259" w:lineRule="auto"/>
              <w:ind w:left="454"/>
              <w:rPr>
                <w:b/>
                <w:bCs/>
              </w:rPr>
            </w:pPr>
            <w:r w:rsidRPr="00C73459">
              <w:t>Active monitoring of action plans – LSCP</w:t>
            </w:r>
          </w:p>
        </w:tc>
        <w:tc>
          <w:tcPr>
            <w:tcW w:w="994" w:type="pct"/>
          </w:tcPr>
          <w:p w14:paraId="546A46A4" w14:textId="77777777" w:rsidR="000300E7" w:rsidRDefault="00ED7E0C" w:rsidP="00ED7E0C">
            <w:pPr>
              <w:pStyle w:val="ListParagraph"/>
              <w:numPr>
                <w:ilvl w:val="0"/>
                <w:numId w:val="13"/>
              </w:numPr>
              <w:ind w:left="466"/>
            </w:pPr>
            <w:r>
              <w:t>CEM Development Plan</w:t>
            </w:r>
          </w:p>
          <w:p w14:paraId="0C41153E" w14:textId="51FA30BF" w:rsidR="00927089" w:rsidRDefault="00927089" w:rsidP="00ED7E0C">
            <w:pPr>
              <w:pStyle w:val="ListParagraph"/>
              <w:numPr>
                <w:ilvl w:val="0"/>
                <w:numId w:val="13"/>
              </w:numPr>
              <w:ind w:left="466"/>
            </w:pPr>
            <w:r>
              <w:t>LSCP Performance Scorecard Action Tracker</w:t>
            </w:r>
          </w:p>
        </w:tc>
      </w:tr>
    </w:tbl>
    <w:p w14:paraId="537E6786" w14:textId="77777777" w:rsidR="006C4225" w:rsidRDefault="006C4225" w:rsidP="006E57B8">
      <w:pPr>
        <w:pStyle w:val="Heading1"/>
        <w:rPr>
          <w:color w:val="65598E"/>
        </w:rPr>
        <w:sectPr w:rsidR="006C4225" w:rsidSect="002107CC">
          <w:headerReference w:type="default" r:id="rId19"/>
          <w:pgSz w:w="16838" w:h="11906" w:orient="landscape"/>
          <w:pgMar w:top="720" w:right="720" w:bottom="720" w:left="720" w:header="708" w:footer="708" w:gutter="0"/>
          <w:cols w:space="708"/>
          <w:docGrid w:linePitch="360"/>
        </w:sectPr>
      </w:pPr>
    </w:p>
    <w:p w14:paraId="43BEEC9D" w14:textId="6C166990" w:rsidR="006E57B8" w:rsidRPr="006E57B8" w:rsidRDefault="006E57B8" w:rsidP="006E57B8">
      <w:pPr>
        <w:pStyle w:val="Heading1"/>
        <w:rPr>
          <w:color w:val="65598E"/>
        </w:rPr>
      </w:pPr>
      <w:bookmarkStart w:id="4" w:name="_Toc112855952"/>
      <w:r>
        <w:rPr>
          <w:color w:val="65598E"/>
        </w:rPr>
        <w:lastRenderedPageBreak/>
        <w:t>5. O</w:t>
      </w:r>
      <w:r w:rsidRPr="006E57B8">
        <w:rPr>
          <w:color w:val="65598E"/>
        </w:rPr>
        <w:t xml:space="preserve">utcome and </w:t>
      </w:r>
      <w:r>
        <w:rPr>
          <w:color w:val="65598E"/>
        </w:rPr>
        <w:t>S</w:t>
      </w:r>
      <w:r w:rsidRPr="006E57B8">
        <w:rPr>
          <w:color w:val="65598E"/>
        </w:rPr>
        <w:t xml:space="preserve">uccess </w:t>
      </w:r>
      <w:r>
        <w:rPr>
          <w:color w:val="65598E"/>
        </w:rPr>
        <w:t>M</w:t>
      </w:r>
      <w:r w:rsidRPr="006E57B8">
        <w:rPr>
          <w:color w:val="65598E"/>
        </w:rPr>
        <w:t>easures</w:t>
      </w:r>
      <w:bookmarkEnd w:id="4"/>
    </w:p>
    <w:p w14:paraId="1E88811C" w14:textId="77777777" w:rsidR="00C32A7F" w:rsidRPr="00C32A7F" w:rsidRDefault="00C32A7F" w:rsidP="005211B9">
      <w:pPr>
        <w:pStyle w:val="ListParagraph"/>
        <w:numPr>
          <w:ilvl w:val="0"/>
          <w:numId w:val="11"/>
        </w:numPr>
        <w:spacing w:after="0" w:line="240" w:lineRule="auto"/>
        <w:jc w:val="both"/>
        <w:rPr>
          <w:rFonts w:cs="Arial"/>
          <w:b/>
          <w:bCs/>
        </w:rPr>
      </w:pPr>
      <w:r w:rsidRPr="00C32A7F">
        <w:rPr>
          <w:rFonts w:cs="Arial"/>
        </w:rPr>
        <w:t xml:space="preserve">A measurable reduction in the prevalence and impact of sexual and criminal child exploitation in Lincolnshire. </w:t>
      </w:r>
    </w:p>
    <w:p w14:paraId="75CDD587" w14:textId="6AA2B67A" w:rsidR="00C32A7F" w:rsidRPr="00A75393" w:rsidRDefault="00C32A7F" w:rsidP="005211B9">
      <w:pPr>
        <w:pStyle w:val="ListParagraph"/>
        <w:numPr>
          <w:ilvl w:val="0"/>
          <w:numId w:val="11"/>
        </w:numPr>
        <w:spacing w:after="0"/>
        <w:rPr>
          <w:b/>
          <w:bCs/>
        </w:rPr>
      </w:pPr>
      <w:r w:rsidRPr="00C32A7F">
        <w:rPr>
          <w:rFonts w:cs="Arial"/>
        </w:rPr>
        <w:t>A measurable increase in the identification and disruption of child exploitation</w:t>
      </w:r>
      <w:r w:rsidR="003C1BF0">
        <w:rPr>
          <w:rFonts w:cs="Arial"/>
        </w:rPr>
        <w:t>.</w:t>
      </w:r>
    </w:p>
    <w:p w14:paraId="593A6BC1" w14:textId="535A4A8F" w:rsidR="003C1BF0" w:rsidRPr="00C32A7F" w:rsidRDefault="003C1BF0" w:rsidP="005211B9">
      <w:pPr>
        <w:pStyle w:val="ListParagraph"/>
        <w:numPr>
          <w:ilvl w:val="0"/>
          <w:numId w:val="12"/>
        </w:numPr>
        <w:spacing w:after="0"/>
        <w:rPr>
          <w:b/>
          <w:bCs/>
        </w:rPr>
      </w:pPr>
      <w:r>
        <w:rPr>
          <w:rFonts w:cs="Arial"/>
        </w:rPr>
        <w:t>A measurable balance of referrals to MACE being made across the partnership</w:t>
      </w:r>
      <w:r w:rsidR="00EC1E34">
        <w:rPr>
          <w:rFonts w:cs="Arial"/>
        </w:rPr>
        <w:t>.</w:t>
      </w:r>
    </w:p>
    <w:p w14:paraId="3144B6DD" w14:textId="77777777" w:rsidR="008E2EFD" w:rsidRPr="003A3C05" w:rsidRDefault="008E2EFD" w:rsidP="005211B9">
      <w:pPr>
        <w:pStyle w:val="ListParagraph"/>
        <w:numPr>
          <w:ilvl w:val="0"/>
          <w:numId w:val="12"/>
        </w:numPr>
        <w:spacing w:after="0"/>
        <w:rPr>
          <w:b/>
          <w:bCs/>
        </w:rPr>
      </w:pPr>
      <w:r>
        <w:rPr>
          <w:rFonts w:cs="Arial"/>
        </w:rPr>
        <w:t xml:space="preserve">Ensure all cases referred </w:t>
      </w:r>
      <w:r w:rsidR="00E92204">
        <w:rPr>
          <w:rFonts w:cs="Arial"/>
        </w:rPr>
        <w:t xml:space="preserve">and progressed within MACE </w:t>
      </w:r>
      <w:r>
        <w:rPr>
          <w:rFonts w:cs="Arial"/>
        </w:rPr>
        <w:t>are discussed in a timely manner.</w:t>
      </w:r>
    </w:p>
    <w:p w14:paraId="3427F768" w14:textId="49EB1F99" w:rsidR="008E2EFD" w:rsidRPr="003A3C05" w:rsidRDefault="008E2EFD" w:rsidP="005211B9">
      <w:pPr>
        <w:pStyle w:val="ListParagraph"/>
        <w:numPr>
          <w:ilvl w:val="0"/>
          <w:numId w:val="12"/>
        </w:numPr>
        <w:spacing w:after="0"/>
        <w:rPr>
          <w:b/>
          <w:bCs/>
        </w:rPr>
      </w:pPr>
      <w:r>
        <w:rPr>
          <w:rFonts w:cs="Arial"/>
        </w:rPr>
        <w:t xml:space="preserve">Ensure all actions </w:t>
      </w:r>
      <w:r w:rsidR="00E92204">
        <w:rPr>
          <w:rFonts w:cs="Arial"/>
        </w:rPr>
        <w:t>identified</w:t>
      </w:r>
      <w:r>
        <w:rPr>
          <w:rFonts w:cs="Arial"/>
        </w:rPr>
        <w:t xml:space="preserve"> within the MACE arena are completed in a timely manner</w:t>
      </w:r>
      <w:r w:rsidR="00EC1E34">
        <w:rPr>
          <w:rFonts w:cs="Arial"/>
        </w:rPr>
        <w:t>.</w:t>
      </w:r>
    </w:p>
    <w:p w14:paraId="7C4B1051" w14:textId="5C280DA4" w:rsidR="008E2EFD" w:rsidRPr="003A3C05" w:rsidRDefault="00381785" w:rsidP="005211B9">
      <w:pPr>
        <w:pStyle w:val="ListParagraph"/>
        <w:numPr>
          <w:ilvl w:val="0"/>
          <w:numId w:val="12"/>
        </w:numPr>
        <w:spacing w:after="0"/>
      </w:pPr>
      <w:r w:rsidRPr="003A3C05">
        <w:t>Measurable outcomes to ensure the focus in MACE is on disruption</w:t>
      </w:r>
      <w:r w:rsidR="00EC1E34">
        <w:t>.</w:t>
      </w:r>
    </w:p>
    <w:p w14:paraId="66BDF4D3" w14:textId="77777777" w:rsidR="00C32A7F" w:rsidRDefault="00C32A7F" w:rsidP="005C6E19">
      <w:pPr>
        <w:spacing w:after="0"/>
      </w:pPr>
    </w:p>
    <w:p w14:paraId="499CD429" w14:textId="2A9437B8" w:rsidR="00C32A7F" w:rsidRDefault="00067FAB" w:rsidP="005C6E19">
      <w:pPr>
        <w:spacing w:after="0"/>
      </w:pPr>
      <w:r w:rsidRPr="00067FAB">
        <w:t>The</w:t>
      </w:r>
      <w:r>
        <w:t xml:space="preserve"> MACE Outcomes </w:t>
      </w:r>
      <w:r w:rsidR="003C1FC1">
        <w:t>Report</w:t>
      </w:r>
      <w:r w:rsidRPr="00067FAB">
        <w:t xml:space="preserve"> app is available via th</w:t>
      </w:r>
      <w:r w:rsidR="003C1FC1">
        <w:t>e following</w:t>
      </w:r>
      <w:r w:rsidRPr="00067FAB">
        <w:t xml:space="preserve"> link </w:t>
      </w:r>
      <w:r w:rsidR="003C1FC1">
        <w:t xml:space="preserve">– </w:t>
      </w:r>
      <w:hyperlink r:id="rId20" w:history="1">
        <w:r w:rsidR="00C54353">
          <w:rPr>
            <w:rStyle w:val="Hyperlink"/>
          </w:rPr>
          <w:t>MACE Outcomes Report - Power BI</w:t>
        </w:r>
      </w:hyperlink>
    </w:p>
    <w:p w14:paraId="132A54BB" w14:textId="5A0136F7" w:rsidR="00C54353" w:rsidRDefault="00C54353" w:rsidP="005C6E19">
      <w:pPr>
        <w:spacing w:after="0"/>
      </w:pPr>
    </w:p>
    <w:p w14:paraId="17162A88" w14:textId="747800B6" w:rsidR="00A7588E" w:rsidRDefault="00C54353" w:rsidP="005C6E19">
      <w:pPr>
        <w:spacing w:after="0"/>
      </w:pPr>
      <w:r>
        <w:t xml:space="preserve">Access to this app is </w:t>
      </w:r>
      <w:r w:rsidR="002D4DD6">
        <w:t xml:space="preserve">restricted </w:t>
      </w:r>
      <w:r w:rsidR="00312412">
        <w:t>which is</w:t>
      </w:r>
      <w:r w:rsidR="002D4DD6">
        <w:t xml:space="preserve"> </w:t>
      </w:r>
      <w:r w:rsidR="00312412">
        <w:t>rigorously</w:t>
      </w:r>
      <w:r>
        <w:t xml:space="preserve"> monitored and</w:t>
      </w:r>
      <w:r w:rsidR="002D4DD6">
        <w:t xml:space="preserve"> managed</w:t>
      </w:r>
      <w:r>
        <w:t xml:space="preserve"> </w:t>
      </w:r>
      <w:r w:rsidR="00EF121E">
        <w:t>by</w:t>
      </w:r>
      <w:r w:rsidR="009C464C">
        <w:t xml:space="preserve"> the Operation </w:t>
      </w:r>
      <w:r w:rsidR="009F2F51">
        <w:t>CEM</w:t>
      </w:r>
      <w:r w:rsidR="009C464C">
        <w:t xml:space="preserve"> Steering Group.  Access can be requested to the app </w:t>
      </w:r>
      <w:r w:rsidR="00EF121E">
        <w:t xml:space="preserve">via </w:t>
      </w:r>
      <w:r w:rsidR="00A7588E">
        <w:t xml:space="preserve">the e-mail address - </w:t>
      </w:r>
      <w:hyperlink r:id="rId21" w:history="1">
        <w:r w:rsidR="00A7588E" w:rsidRPr="006931CA">
          <w:rPr>
            <w:rStyle w:val="Hyperlink"/>
          </w:rPr>
          <w:t>LSCP@lincolnshire.gov.uk</w:t>
        </w:r>
      </w:hyperlink>
    </w:p>
    <w:p w14:paraId="1E0B2434" w14:textId="672E40C8" w:rsidR="003C1FC1" w:rsidRDefault="003C1FC1" w:rsidP="005C6E19">
      <w:pPr>
        <w:spacing w:after="0"/>
      </w:pPr>
    </w:p>
    <w:p w14:paraId="31C8D8AC" w14:textId="16C5AD9F" w:rsidR="00A5473F" w:rsidRDefault="005211B9" w:rsidP="00D82ECB">
      <w:pPr>
        <w:spacing w:after="0"/>
      </w:pPr>
      <w:r>
        <w:t>Th</w:t>
      </w:r>
      <w:r w:rsidR="00A5473F">
        <w:t>is</w:t>
      </w:r>
      <w:r>
        <w:t xml:space="preserve"> report focuses on</w:t>
      </w:r>
      <w:r w:rsidR="00D82ECB">
        <w:t xml:space="preserve"> the monitoring of performance, KPIs, attendance and the status of actions amongst many other areas.</w:t>
      </w:r>
    </w:p>
    <w:p w14:paraId="5816AC67" w14:textId="0A5EC01F" w:rsidR="00A5473F" w:rsidRDefault="00A5473F" w:rsidP="00A5473F">
      <w:pPr>
        <w:spacing w:after="0"/>
      </w:pPr>
    </w:p>
    <w:p w14:paraId="6FFD10DE" w14:textId="43E202DA" w:rsidR="00A5473F" w:rsidRDefault="00626B65" w:rsidP="00A5473F">
      <w:pPr>
        <w:spacing w:after="0"/>
      </w:pPr>
      <w:r>
        <w:t>This report is reviewed at every Operation</w:t>
      </w:r>
      <w:r w:rsidR="00A2325C">
        <w:t>al</w:t>
      </w:r>
      <w:r>
        <w:t xml:space="preserve"> </w:t>
      </w:r>
      <w:r w:rsidR="00040308">
        <w:t>CEM</w:t>
      </w:r>
      <w:r>
        <w:t xml:space="preserve"> Steering Group Meeting</w:t>
      </w:r>
      <w:r w:rsidR="00040308">
        <w:t xml:space="preserve"> and</w:t>
      </w:r>
      <w:r>
        <w:t xml:space="preserve"> </w:t>
      </w:r>
      <w:r w:rsidR="00040308">
        <w:t xml:space="preserve">Strategic </w:t>
      </w:r>
      <w:r w:rsidRPr="00626B65">
        <w:t>CEM Sub-Group</w:t>
      </w:r>
      <w:r>
        <w:t xml:space="preserve"> to ensure all </w:t>
      </w:r>
      <w:r w:rsidR="00164520">
        <w:t xml:space="preserve">senior representatives from each </w:t>
      </w:r>
      <w:r>
        <w:t>agenc</w:t>
      </w:r>
      <w:r w:rsidR="00164520">
        <w:t>y</w:t>
      </w:r>
      <w:r>
        <w:t xml:space="preserve"> have oversight and ownership of this data.</w:t>
      </w:r>
    </w:p>
    <w:sectPr w:rsidR="00A5473F" w:rsidSect="006C42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BD05" w14:textId="77777777" w:rsidR="004E1803" w:rsidRDefault="004E1803" w:rsidP="00DA73C8">
      <w:pPr>
        <w:spacing w:after="0" w:line="240" w:lineRule="auto"/>
      </w:pPr>
      <w:r>
        <w:separator/>
      </w:r>
    </w:p>
  </w:endnote>
  <w:endnote w:type="continuationSeparator" w:id="0">
    <w:p w14:paraId="1B02E541" w14:textId="77777777" w:rsidR="004E1803" w:rsidRDefault="004E1803" w:rsidP="00DA73C8">
      <w:pPr>
        <w:spacing w:after="0" w:line="240" w:lineRule="auto"/>
      </w:pPr>
      <w:r>
        <w:continuationSeparator/>
      </w:r>
    </w:p>
  </w:endnote>
  <w:endnote w:type="continuationNotice" w:id="1">
    <w:p w14:paraId="7D259D90" w14:textId="77777777" w:rsidR="004E1803" w:rsidRDefault="004E1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39611"/>
      <w:docPartObj>
        <w:docPartGallery w:val="Page Numbers (Bottom of Page)"/>
        <w:docPartUnique/>
      </w:docPartObj>
    </w:sdtPr>
    <w:sdtEndPr/>
    <w:sdtContent>
      <w:sdt>
        <w:sdtPr>
          <w:id w:val="-1705238520"/>
          <w:docPartObj>
            <w:docPartGallery w:val="Page Numbers (Top of Page)"/>
            <w:docPartUnique/>
          </w:docPartObj>
        </w:sdtPr>
        <w:sdtEndPr/>
        <w:sdtContent>
          <w:p w14:paraId="756BF1E4" w14:textId="245073DB" w:rsidR="00F86BB2" w:rsidRDefault="00F86BB2">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A681" w14:textId="77777777" w:rsidR="004E1803" w:rsidRDefault="004E1803" w:rsidP="00DA73C8">
      <w:pPr>
        <w:spacing w:after="0" w:line="240" w:lineRule="auto"/>
      </w:pPr>
      <w:r>
        <w:separator/>
      </w:r>
    </w:p>
  </w:footnote>
  <w:footnote w:type="continuationSeparator" w:id="0">
    <w:p w14:paraId="0D54D84F" w14:textId="77777777" w:rsidR="004E1803" w:rsidRDefault="004E1803" w:rsidP="00DA73C8">
      <w:pPr>
        <w:spacing w:after="0" w:line="240" w:lineRule="auto"/>
      </w:pPr>
      <w:r>
        <w:continuationSeparator/>
      </w:r>
    </w:p>
  </w:footnote>
  <w:footnote w:type="continuationNotice" w:id="1">
    <w:p w14:paraId="58B4FF5B" w14:textId="77777777" w:rsidR="004E1803" w:rsidRDefault="004E1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2377" w14:textId="2D750375" w:rsidR="00ED2140" w:rsidRDefault="00ED2140" w:rsidP="00E4625B">
    <w:pPr>
      <w:spacing w:after="0"/>
      <w:jc w:val="center"/>
      <w:rPr>
        <w:b/>
        <w:bCs/>
        <w:sz w:val="32"/>
        <w:szCs w:val="32"/>
      </w:rPr>
    </w:pPr>
    <w:r>
      <w:rPr>
        <w:noProof/>
      </w:rPr>
      <w:drawing>
        <wp:anchor distT="0" distB="0" distL="114300" distR="114300" simplePos="0" relativeHeight="251658240" behindDoc="1" locked="0" layoutInCell="1" allowOverlap="1" wp14:anchorId="6D0D051F" wp14:editId="5FFB0DA1">
          <wp:simplePos x="0" y="0"/>
          <wp:positionH relativeFrom="margin">
            <wp:posOffset>5439410</wp:posOffset>
          </wp:positionH>
          <wp:positionV relativeFrom="page">
            <wp:posOffset>351790</wp:posOffset>
          </wp:positionV>
          <wp:extent cx="1206500" cy="739140"/>
          <wp:effectExtent l="0" t="0" r="0" b="3810"/>
          <wp:wrapNone/>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739140"/>
                  </a:xfrm>
                  <a:prstGeom prst="rect">
                    <a:avLst/>
                  </a:prstGeom>
                </pic:spPr>
              </pic:pic>
            </a:graphicData>
          </a:graphic>
          <wp14:sizeRelH relativeFrom="margin">
            <wp14:pctWidth>0</wp14:pctWidth>
          </wp14:sizeRelH>
          <wp14:sizeRelV relativeFrom="margin">
            <wp14:pctHeight>0</wp14:pctHeight>
          </wp14:sizeRelV>
        </wp:anchor>
      </w:drawing>
    </w:r>
    <w:r w:rsidR="00E4625B" w:rsidRPr="003A3C05">
      <w:rPr>
        <w:b/>
        <w:bCs/>
        <w:sz w:val="32"/>
        <w:szCs w:val="32"/>
      </w:rPr>
      <w:t>Child Exploitation Quality Assurance</w:t>
    </w:r>
  </w:p>
  <w:p w14:paraId="409572AB" w14:textId="2ABB7542" w:rsidR="00E4625B" w:rsidRPr="003A3C05" w:rsidRDefault="00E4625B" w:rsidP="00E4625B">
    <w:pPr>
      <w:spacing w:after="0"/>
      <w:jc w:val="center"/>
      <w:rPr>
        <w:b/>
        <w:bCs/>
        <w:sz w:val="32"/>
        <w:szCs w:val="32"/>
      </w:rPr>
    </w:pPr>
    <w:r w:rsidRPr="003A3C05">
      <w:rPr>
        <w:b/>
        <w:bCs/>
        <w:sz w:val="32"/>
        <w:szCs w:val="32"/>
      </w:rPr>
      <w:t>and Performance Framework</w:t>
    </w:r>
  </w:p>
  <w:p w14:paraId="40DBBF01" w14:textId="4DB82BCC" w:rsidR="00DA73C8" w:rsidRDefault="00D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01AA" w14:textId="77777777" w:rsidR="002107CC" w:rsidRDefault="002107CC" w:rsidP="00E4625B">
    <w:pPr>
      <w:spacing w:after="0"/>
      <w:jc w:val="center"/>
      <w:rPr>
        <w:b/>
        <w:bCs/>
        <w:sz w:val="32"/>
        <w:szCs w:val="32"/>
      </w:rPr>
    </w:pPr>
    <w:r>
      <w:rPr>
        <w:noProof/>
      </w:rPr>
      <w:drawing>
        <wp:anchor distT="0" distB="0" distL="114300" distR="114300" simplePos="0" relativeHeight="251658241" behindDoc="1" locked="0" layoutInCell="1" allowOverlap="1" wp14:anchorId="6D9B4288" wp14:editId="1D5D2634">
          <wp:simplePos x="0" y="0"/>
          <wp:positionH relativeFrom="margin">
            <wp:align>right</wp:align>
          </wp:positionH>
          <wp:positionV relativeFrom="page">
            <wp:posOffset>199390</wp:posOffset>
          </wp:positionV>
          <wp:extent cx="1206500" cy="739140"/>
          <wp:effectExtent l="0" t="0" r="0" b="381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739140"/>
                  </a:xfrm>
                  <a:prstGeom prst="rect">
                    <a:avLst/>
                  </a:prstGeom>
                </pic:spPr>
              </pic:pic>
            </a:graphicData>
          </a:graphic>
          <wp14:sizeRelH relativeFrom="margin">
            <wp14:pctWidth>0</wp14:pctWidth>
          </wp14:sizeRelH>
          <wp14:sizeRelV relativeFrom="margin">
            <wp14:pctHeight>0</wp14:pctHeight>
          </wp14:sizeRelV>
        </wp:anchor>
      </w:drawing>
    </w:r>
    <w:r w:rsidRPr="003A3C05">
      <w:rPr>
        <w:b/>
        <w:bCs/>
        <w:sz w:val="32"/>
        <w:szCs w:val="32"/>
      </w:rPr>
      <w:t>Child Exploitation Quality Assurance</w:t>
    </w:r>
  </w:p>
  <w:p w14:paraId="0E9B9374" w14:textId="77777777" w:rsidR="002107CC" w:rsidRPr="003A3C05" w:rsidRDefault="002107CC" w:rsidP="00E4625B">
    <w:pPr>
      <w:spacing w:after="0"/>
      <w:jc w:val="center"/>
      <w:rPr>
        <w:b/>
        <w:bCs/>
        <w:sz w:val="32"/>
        <w:szCs w:val="32"/>
      </w:rPr>
    </w:pPr>
    <w:r w:rsidRPr="003A3C05">
      <w:rPr>
        <w:b/>
        <w:bCs/>
        <w:sz w:val="32"/>
        <w:szCs w:val="32"/>
      </w:rPr>
      <w:t>and Performance Framework</w:t>
    </w:r>
  </w:p>
  <w:p w14:paraId="01748191" w14:textId="77777777" w:rsidR="002107CC" w:rsidRDefault="00210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21B"/>
    <w:multiLevelType w:val="hybridMultilevel"/>
    <w:tmpl w:val="6F08271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B1D038B"/>
    <w:multiLevelType w:val="hybridMultilevel"/>
    <w:tmpl w:val="47F03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E2E28"/>
    <w:multiLevelType w:val="hybridMultilevel"/>
    <w:tmpl w:val="D58A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C2371"/>
    <w:multiLevelType w:val="hybridMultilevel"/>
    <w:tmpl w:val="3BE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17B50"/>
    <w:multiLevelType w:val="hybridMultilevel"/>
    <w:tmpl w:val="0C0687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F2701"/>
    <w:multiLevelType w:val="hybridMultilevel"/>
    <w:tmpl w:val="3698E86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FC4731"/>
    <w:multiLevelType w:val="hybridMultilevel"/>
    <w:tmpl w:val="379A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21761"/>
    <w:multiLevelType w:val="hybridMultilevel"/>
    <w:tmpl w:val="3A508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F3D5B"/>
    <w:multiLevelType w:val="hybridMultilevel"/>
    <w:tmpl w:val="F84E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724B5"/>
    <w:multiLevelType w:val="hybridMultilevel"/>
    <w:tmpl w:val="D90E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20307"/>
    <w:multiLevelType w:val="hybridMultilevel"/>
    <w:tmpl w:val="B50E55C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AF59D4"/>
    <w:multiLevelType w:val="hybridMultilevel"/>
    <w:tmpl w:val="E08021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69291F"/>
    <w:multiLevelType w:val="hybridMultilevel"/>
    <w:tmpl w:val="68F874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91ECD"/>
    <w:multiLevelType w:val="hybridMultilevel"/>
    <w:tmpl w:val="A03470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35069"/>
    <w:multiLevelType w:val="hybridMultilevel"/>
    <w:tmpl w:val="1D243AF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077032">
    <w:abstractNumId w:val="0"/>
  </w:num>
  <w:num w:numId="2" w16cid:durableId="2075543956">
    <w:abstractNumId w:val="8"/>
  </w:num>
  <w:num w:numId="3" w16cid:durableId="167137360">
    <w:abstractNumId w:val="6"/>
  </w:num>
  <w:num w:numId="4" w16cid:durableId="63458343">
    <w:abstractNumId w:val="3"/>
  </w:num>
  <w:num w:numId="5" w16cid:durableId="973099517">
    <w:abstractNumId w:val="9"/>
  </w:num>
  <w:num w:numId="6" w16cid:durableId="314727313">
    <w:abstractNumId w:val="2"/>
  </w:num>
  <w:num w:numId="7" w16cid:durableId="979726580">
    <w:abstractNumId w:val="1"/>
  </w:num>
  <w:num w:numId="8" w16cid:durableId="1445464897">
    <w:abstractNumId w:val="11"/>
  </w:num>
  <w:num w:numId="9" w16cid:durableId="2173580">
    <w:abstractNumId w:val="12"/>
  </w:num>
  <w:num w:numId="10" w16cid:durableId="319162561">
    <w:abstractNumId w:val="13"/>
  </w:num>
  <w:num w:numId="11" w16cid:durableId="529027120">
    <w:abstractNumId w:val="14"/>
  </w:num>
  <w:num w:numId="12" w16cid:durableId="1486627704">
    <w:abstractNumId w:val="10"/>
  </w:num>
  <w:num w:numId="13" w16cid:durableId="1031955363">
    <w:abstractNumId w:val="4"/>
  </w:num>
  <w:num w:numId="14" w16cid:durableId="194199669">
    <w:abstractNumId w:val="5"/>
  </w:num>
  <w:num w:numId="15" w16cid:durableId="233391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7F"/>
    <w:rsid w:val="00004105"/>
    <w:rsid w:val="0000514E"/>
    <w:rsid w:val="0002077B"/>
    <w:rsid w:val="000300E7"/>
    <w:rsid w:val="00030FAC"/>
    <w:rsid w:val="0004027D"/>
    <w:rsid w:val="00040308"/>
    <w:rsid w:val="000421BA"/>
    <w:rsid w:val="00067FAB"/>
    <w:rsid w:val="00085EE4"/>
    <w:rsid w:val="00094C08"/>
    <w:rsid w:val="000A0D4E"/>
    <w:rsid w:val="000B19A9"/>
    <w:rsid w:val="000B45FF"/>
    <w:rsid w:val="000B7AB2"/>
    <w:rsid w:val="000D1D95"/>
    <w:rsid w:val="000D28E3"/>
    <w:rsid w:val="000E2EA0"/>
    <w:rsid w:val="0010151F"/>
    <w:rsid w:val="00114E0A"/>
    <w:rsid w:val="00117B78"/>
    <w:rsid w:val="00164520"/>
    <w:rsid w:val="00176593"/>
    <w:rsid w:val="00176CF0"/>
    <w:rsid w:val="001878BF"/>
    <w:rsid w:val="001E7AD5"/>
    <w:rsid w:val="002107CC"/>
    <w:rsid w:val="002238D6"/>
    <w:rsid w:val="00233566"/>
    <w:rsid w:val="00235FCD"/>
    <w:rsid w:val="00255214"/>
    <w:rsid w:val="00262637"/>
    <w:rsid w:val="0028219F"/>
    <w:rsid w:val="002A07BC"/>
    <w:rsid w:val="002B2895"/>
    <w:rsid w:val="002C3020"/>
    <w:rsid w:val="002D472D"/>
    <w:rsid w:val="002D4DD6"/>
    <w:rsid w:val="002D52AA"/>
    <w:rsid w:val="002E359E"/>
    <w:rsid w:val="00312412"/>
    <w:rsid w:val="003155E6"/>
    <w:rsid w:val="003204AA"/>
    <w:rsid w:val="003337CD"/>
    <w:rsid w:val="0033599A"/>
    <w:rsid w:val="00336CB9"/>
    <w:rsid w:val="00352E90"/>
    <w:rsid w:val="003636D0"/>
    <w:rsid w:val="003709BC"/>
    <w:rsid w:val="00381785"/>
    <w:rsid w:val="0038764B"/>
    <w:rsid w:val="003A111A"/>
    <w:rsid w:val="003A3C05"/>
    <w:rsid w:val="003B6AB4"/>
    <w:rsid w:val="003C1559"/>
    <w:rsid w:val="003C1BF0"/>
    <w:rsid w:val="003C1FC1"/>
    <w:rsid w:val="003E01AD"/>
    <w:rsid w:val="003F5EA7"/>
    <w:rsid w:val="0040777E"/>
    <w:rsid w:val="00411147"/>
    <w:rsid w:val="00423561"/>
    <w:rsid w:val="00451A00"/>
    <w:rsid w:val="0047499D"/>
    <w:rsid w:val="00485702"/>
    <w:rsid w:val="004C024C"/>
    <w:rsid w:val="004D627F"/>
    <w:rsid w:val="004E1803"/>
    <w:rsid w:val="004E2C3D"/>
    <w:rsid w:val="004F31A2"/>
    <w:rsid w:val="004F38E2"/>
    <w:rsid w:val="004F4B81"/>
    <w:rsid w:val="004F766E"/>
    <w:rsid w:val="00510A44"/>
    <w:rsid w:val="0051668E"/>
    <w:rsid w:val="00520651"/>
    <w:rsid w:val="005211B9"/>
    <w:rsid w:val="00540950"/>
    <w:rsid w:val="00555D82"/>
    <w:rsid w:val="005663A4"/>
    <w:rsid w:val="00566D90"/>
    <w:rsid w:val="00574BBB"/>
    <w:rsid w:val="0057603F"/>
    <w:rsid w:val="005826D6"/>
    <w:rsid w:val="00596CF7"/>
    <w:rsid w:val="005C64DF"/>
    <w:rsid w:val="005C6E19"/>
    <w:rsid w:val="005F4BB8"/>
    <w:rsid w:val="00626B65"/>
    <w:rsid w:val="00630308"/>
    <w:rsid w:val="0063391C"/>
    <w:rsid w:val="00635C42"/>
    <w:rsid w:val="0064064C"/>
    <w:rsid w:val="0064145F"/>
    <w:rsid w:val="00646FDD"/>
    <w:rsid w:val="00652336"/>
    <w:rsid w:val="00664BFD"/>
    <w:rsid w:val="006908AD"/>
    <w:rsid w:val="006A3140"/>
    <w:rsid w:val="006A5BF2"/>
    <w:rsid w:val="006B483B"/>
    <w:rsid w:val="006B6956"/>
    <w:rsid w:val="006C4225"/>
    <w:rsid w:val="006D7405"/>
    <w:rsid w:val="006D7E6E"/>
    <w:rsid w:val="006E57B8"/>
    <w:rsid w:val="006F6C1E"/>
    <w:rsid w:val="007132B7"/>
    <w:rsid w:val="007518EB"/>
    <w:rsid w:val="00753525"/>
    <w:rsid w:val="00757393"/>
    <w:rsid w:val="007712F5"/>
    <w:rsid w:val="00775334"/>
    <w:rsid w:val="007B2FC6"/>
    <w:rsid w:val="007C0762"/>
    <w:rsid w:val="007C0E73"/>
    <w:rsid w:val="007D422C"/>
    <w:rsid w:val="00850A8B"/>
    <w:rsid w:val="008560B7"/>
    <w:rsid w:val="00861216"/>
    <w:rsid w:val="008671D7"/>
    <w:rsid w:val="00877722"/>
    <w:rsid w:val="008A7E2E"/>
    <w:rsid w:val="008B6603"/>
    <w:rsid w:val="008E2EFD"/>
    <w:rsid w:val="008E6E09"/>
    <w:rsid w:val="008E7187"/>
    <w:rsid w:val="009147A7"/>
    <w:rsid w:val="009168EC"/>
    <w:rsid w:val="00927089"/>
    <w:rsid w:val="00942381"/>
    <w:rsid w:val="009522C7"/>
    <w:rsid w:val="009658C0"/>
    <w:rsid w:val="00966CFA"/>
    <w:rsid w:val="00981E09"/>
    <w:rsid w:val="00990E83"/>
    <w:rsid w:val="009922A6"/>
    <w:rsid w:val="009A1C3A"/>
    <w:rsid w:val="009B6E4D"/>
    <w:rsid w:val="009C464C"/>
    <w:rsid w:val="009D2DBE"/>
    <w:rsid w:val="009D6471"/>
    <w:rsid w:val="009F2F51"/>
    <w:rsid w:val="00A14368"/>
    <w:rsid w:val="00A2325C"/>
    <w:rsid w:val="00A263BB"/>
    <w:rsid w:val="00A4220A"/>
    <w:rsid w:val="00A519BE"/>
    <w:rsid w:val="00A5473F"/>
    <w:rsid w:val="00A72024"/>
    <w:rsid w:val="00A7268A"/>
    <w:rsid w:val="00A75393"/>
    <w:rsid w:val="00A7588E"/>
    <w:rsid w:val="00AE1FA1"/>
    <w:rsid w:val="00AE453E"/>
    <w:rsid w:val="00AF0B62"/>
    <w:rsid w:val="00B10006"/>
    <w:rsid w:val="00B24BB3"/>
    <w:rsid w:val="00B44B3B"/>
    <w:rsid w:val="00B46A3C"/>
    <w:rsid w:val="00B53B7C"/>
    <w:rsid w:val="00BA0D8F"/>
    <w:rsid w:val="00BB35EF"/>
    <w:rsid w:val="00BB3F20"/>
    <w:rsid w:val="00C03C84"/>
    <w:rsid w:val="00C0739C"/>
    <w:rsid w:val="00C155EC"/>
    <w:rsid w:val="00C32A7F"/>
    <w:rsid w:val="00C5347E"/>
    <w:rsid w:val="00C536D6"/>
    <w:rsid w:val="00C54353"/>
    <w:rsid w:val="00C61A89"/>
    <w:rsid w:val="00C702EE"/>
    <w:rsid w:val="00C86773"/>
    <w:rsid w:val="00C87C76"/>
    <w:rsid w:val="00C90CB8"/>
    <w:rsid w:val="00CA3217"/>
    <w:rsid w:val="00CA4E4A"/>
    <w:rsid w:val="00D03B14"/>
    <w:rsid w:val="00D14CD1"/>
    <w:rsid w:val="00D43629"/>
    <w:rsid w:val="00D52D57"/>
    <w:rsid w:val="00D54CD6"/>
    <w:rsid w:val="00D825BC"/>
    <w:rsid w:val="00D82ECB"/>
    <w:rsid w:val="00DA44C2"/>
    <w:rsid w:val="00DA73C8"/>
    <w:rsid w:val="00DB0F38"/>
    <w:rsid w:val="00DB3B89"/>
    <w:rsid w:val="00DB5246"/>
    <w:rsid w:val="00DD67A8"/>
    <w:rsid w:val="00DE6CE4"/>
    <w:rsid w:val="00DF11CF"/>
    <w:rsid w:val="00E0362D"/>
    <w:rsid w:val="00E20F96"/>
    <w:rsid w:val="00E45394"/>
    <w:rsid w:val="00E4625B"/>
    <w:rsid w:val="00E621BF"/>
    <w:rsid w:val="00E82F8E"/>
    <w:rsid w:val="00E92204"/>
    <w:rsid w:val="00E97A87"/>
    <w:rsid w:val="00EA26BE"/>
    <w:rsid w:val="00EC1E34"/>
    <w:rsid w:val="00ED1D2B"/>
    <w:rsid w:val="00ED2140"/>
    <w:rsid w:val="00ED3FBF"/>
    <w:rsid w:val="00ED7E0C"/>
    <w:rsid w:val="00EF0172"/>
    <w:rsid w:val="00EF121E"/>
    <w:rsid w:val="00EF1F73"/>
    <w:rsid w:val="00EF2F8B"/>
    <w:rsid w:val="00F03C7C"/>
    <w:rsid w:val="00F13AA4"/>
    <w:rsid w:val="00F2059E"/>
    <w:rsid w:val="00F21E0F"/>
    <w:rsid w:val="00F37D77"/>
    <w:rsid w:val="00F545CD"/>
    <w:rsid w:val="00F84567"/>
    <w:rsid w:val="00F86BB2"/>
    <w:rsid w:val="00F92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EB726"/>
  <w15:chartTrackingRefBased/>
  <w15:docId w15:val="{47CAE34E-4C34-4C9A-A45F-5A502F93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7F"/>
    <w:pPr>
      <w:ind w:left="720"/>
      <w:contextualSpacing/>
    </w:pPr>
  </w:style>
  <w:style w:type="character" w:styleId="CommentReference">
    <w:name w:val="annotation reference"/>
    <w:basedOn w:val="DefaultParagraphFont"/>
    <w:uiPriority w:val="99"/>
    <w:semiHidden/>
    <w:unhideWhenUsed/>
    <w:rsid w:val="00C32A7F"/>
    <w:rPr>
      <w:sz w:val="16"/>
      <w:szCs w:val="16"/>
    </w:rPr>
  </w:style>
  <w:style w:type="paragraph" w:styleId="CommentText">
    <w:name w:val="annotation text"/>
    <w:basedOn w:val="Normal"/>
    <w:link w:val="CommentTextChar"/>
    <w:uiPriority w:val="99"/>
    <w:semiHidden/>
    <w:unhideWhenUsed/>
    <w:rsid w:val="00C32A7F"/>
    <w:pPr>
      <w:spacing w:line="240" w:lineRule="auto"/>
    </w:pPr>
    <w:rPr>
      <w:sz w:val="20"/>
      <w:szCs w:val="20"/>
    </w:rPr>
  </w:style>
  <w:style w:type="character" w:customStyle="1" w:styleId="CommentTextChar">
    <w:name w:val="Comment Text Char"/>
    <w:basedOn w:val="DefaultParagraphFont"/>
    <w:link w:val="CommentText"/>
    <w:uiPriority w:val="99"/>
    <w:semiHidden/>
    <w:rsid w:val="00C32A7F"/>
    <w:rPr>
      <w:sz w:val="20"/>
      <w:szCs w:val="20"/>
    </w:rPr>
  </w:style>
  <w:style w:type="paragraph" w:styleId="CommentSubject">
    <w:name w:val="annotation subject"/>
    <w:basedOn w:val="CommentText"/>
    <w:next w:val="CommentText"/>
    <w:link w:val="CommentSubjectChar"/>
    <w:uiPriority w:val="99"/>
    <w:semiHidden/>
    <w:unhideWhenUsed/>
    <w:rsid w:val="00C32A7F"/>
    <w:rPr>
      <w:b/>
      <w:bCs/>
    </w:rPr>
  </w:style>
  <w:style w:type="character" w:customStyle="1" w:styleId="CommentSubjectChar">
    <w:name w:val="Comment Subject Char"/>
    <w:basedOn w:val="CommentTextChar"/>
    <w:link w:val="CommentSubject"/>
    <w:uiPriority w:val="99"/>
    <w:semiHidden/>
    <w:rsid w:val="00C32A7F"/>
    <w:rPr>
      <w:b/>
      <w:bCs/>
      <w:sz w:val="20"/>
      <w:szCs w:val="20"/>
    </w:rPr>
  </w:style>
  <w:style w:type="table" w:styleId="TableGrid">
    <w:name w:val="Table Grid"/>
    <w:basedOn w:val="TableNormal"/>
    <w:uiPriority w:val="39"/>
    <w:rsid w:val="00C3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3C8"/>
  </w:style>
  <w:style w:type="paragraph" w:styleId="Footer">
    <w:name w:val="footer"/>
    <w:basedOn w:val="Normal"/>
    <w:link w:val="FooterChar"/>
    <w:uiPriority w:val="99"/>
    <w:unhideWhenUsed/>
    <w:rsid w:val="00DA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3C8"/>
  </w:style>
  <w:style w:type="paragraph" w:styleId="Revision">
    <w:name w:val="Revision"/>
    <w:hidden/>
    <w:uiPriority w:val="99"/>
    <w:semiHidden/>
    <w:rsid w:val="007518EB"/>
    <w:pPr>
      <w:spacing w:after="0" w:line="240" w:lineRule="auto"/>
    </w:pPr>
  </w:style>
  <w:style w:type="character" w:customStyle="1" w:styleId="Heading1Char">
    <w:name w:val="Heading 1 Char"/>
    <w:basedOn w:val="DefaultParagraphFont"/>
    <w:link w:val="Heading1"/>
    <w:uiPriority w:val="9"/>
    <w:rsid w:val="00F8456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E57B8"/>
    <w:pPr>
      <w:outlineLvl w:val="9"/>
    </w:pPr>
    <w:rPr>
      <w:lang w:eastAsia="en-GB"/>
    </w:rPr>
  </w:style>
  <w:style w:type="paragraph" w:styleId="TOC1">
    <w:name w:val="toc 1"/>
    <w:basedOn w:val="Normal"/>
    <w:next w:val="Normal"/>
    <w:autoRedefine/>
    <w:uiPriority w:val="39"/>
    <w:unhideWhenUsed/>
    <w:rsid w:val="006E57B8"/>
    <w:pPr>
      <w:spacing w:after="100"/>
    </w:pPr>
  </w:style>
  <w:style w:type="character" w:styleId="Hyperlink">
    <w:name w:val="Hyperlink"/>
    <w:basedOn w:val="DefaultParagraphFont"/>
    <w:uiPriority w:val="99"/>
    <w:unhideWhenUsed/>
    <w:rsid w:val="006E57B8"/>
    <w:rPr>
      <w:color w:val="0563C1" w:themeColor="hyperlink"/>
      <w:u w:val="single"/>
    </w:rPr>
  </w:style>
  <w:style w:type="character" w:styleId="UnresolvedMention">
    <w:name w:val="Unresolved Mention"/>
    <w:basedOn w:val="DefaultParagraphFont"/>
    <w:uiPriority w:val="99"/>
    <w:semiHidden/>
    <w:unhideWhenUsed/>
    <w:rsid w:val="00A75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SCP@lincolnshire.gov.uk"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app.powerbi.com/groups/me/apps/d38490e0-de99-43f8-a032-4839470807cf/reports/6b921a50-531c-4220-b964-e1ab55af9259/ReportSection?ctid=b4e05b92-f8ce-46b5-9b24-99ba5c11e5e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0DD194-6DB1-43D7-8603-C17058244AA6}" type="doc">
      <dgm:prSet loTypeId="urn:microsoft.com/office/officeart/2005/8/layout/chevron1" loCatId="process" qsTypeId="urn:microsoft.com/office/officeart/2005/8/quickstyle/simple1" qsCatId="simple" csTypeId="urn:microsoft.com/office/officeart/2005/8/colors/accent1_2" csCatId="accent1" phldr="1"/>
      <dgm:spPr/>
    </dgm:pt>
    <dgm:pt modelId="{E54BE0A7-503C-422A-B044-ACB5BA919FDF}">
      <dgm:prSet phldrT="[Text]" custT="1"/>
      <dgm:spPr/>
      <dgm:t>
        <a:bodyPr/>
        <a:lstStyle/>
        <a:p>
          <a:r>
            <a:rPr lang="en-GB" sz="800" b="1">
              <a:solidFill>
                <a:srgbClr val="FFFF00"/>
              </a:solidFill>
            </a:rPr>
            <a:t>Weekly MACE Level 1 &amp; 2</a:t>
          </a:r>
        </a:p>
      </dgm:t>
    </dgm:pt>
    <dgm:pt modelId="{C56342E3-568D-4F81-9116-7CA310E9CE12}" type="parTrans" cxnId="{2FA48F7B-D7FB-4759-9AC3-DA6EB58DA62F}">
      <dgm:prSet/>
      <dgm:spPr/>
      <dgm:t>
        <a:bodyPr/>
        <a:lstStyle/>
        <a:p>
          <a:endParaRPr lang="en-GB" sz="1800" b="1">
            <a:solidFill>
              <a:srgbClr val="FFFF00"/>
            </a:solidFill>
          </a:endParaRPr>
        </a:p>
      </dgm:t>
    </dgm:pt>
    <dgm:pt modelId="{724D09CF-FA90-4A1B-8846-F96730D4073C}" type="sibTrans" cxnId="{2FA48F7B-D7FB-4759-9AC3-DA6EB58DA62F}">
      <dgm:prSet/>
      <dgm:spPr/>
      <dgm:t>
        <a:bodyPr/>
        <a:lstStyle/>
        <a:p>
          <a:endParaRPr lang="en-GB" sz="1800" b="1">
            <a:solidFill>
              <a:srgbClr val="FFFF00"/>
            </a:solidFill>
          </a:endParaRPr>
        </a:p>
      </dgm:t>
    </dgm:pt>
    <dgm:pt modelId="{670D23E8-2277-4189-90FB-EFA5565E836E}">
      <dgm:prSet phldrT="[Text]" custT="1"/>
      <dgm:spPr/>
      <dgm:t>
        <a:bodyPr/>
        <a:lstStyle/>
        <a:p>
          <a:r>
            <a:rPr lang="en-GB" sz="800" b="1">
              <a:solidFill>
                <a:srgbClr val="FFFF00"/>
              </a:solidFill>
            </a:rPr>
            <a:t>6 Weekly Operational CEM Steering Group</a:t>
          </a:r>
        </a:p>
      </dgm:t>
    </dgm:pt>
    <dgm:pt modelId="{B8BAFFDA-E5DC-463E-85A4-B2DCE9561417}" type="parTrans" cxnId="{95D4BE80-E34F-4651-BB76-4B02D1FC7885}">
      <dgm:prSet/>
      <dgm:spPr/>
      <dgm:t>
        <a:bodyPr/>
        <a:lstStyle/>
        <a:p>
          <a:endParaRPr lang="en-GB" sz="1800" b="1">
            <a:solidFill>
              <a:srgbClr val="FFFF00"/>
            </a:solidFill>
          </a:endParaRPr>
        </a:p>
      </dgm:t>
    </dgm:pt>
    <dgm:pt modelId="{27F1A4F3-2613-4A49-A711-67AC2733AD56}" type="sibTrans" cxnId="{95D4BE80-E34F-4651-BB76-4B02D1FC7885}">
      <dgm:prSet/>
      <dgm:spPr/>
      <dgm:t>
        <a:bodyPr/>
        <a:lstStyle/>
        <a:p>
          <a:endParaRPr lang="en-GB" sz="1800" b="1">
            <a:solidFill>
              <a:srgbClr val="FFFF00"/>
            </a:solidFill>
          </a:endParaRPr>
        </a:p>
      </dgm:t>
    </dgm:pt>
    <dgm:pt modelId="{E89740C4-769E-4BC9-BC2C-C6F9EEAE11CE}">
      <dgm:prSet custT="1"/>
      <dgm:spPr/>
      <dgm:t>
        <a:bodyPr/>
        <a:lstStyle/>
        <a:p>
          <a:r>
            <a:rPr lang="en-GB" sz="800" b="1">
              <a:solidFill>
                <a:srgbClr val="FFFF00"/>
              </a:solidFill>
            </a:rPr>
            <a:t>3 monthly Strategic CEM Sub-Group</a:t>
          </a:r>
        </a:p>
      </dgm:t>
    </dgm:pt>
    <dgm:pt modelId="{B01276EF-DB57-4FA2-8DF7-FAFCE5AE3D19}" type="parTrans" cxnId="{3227C128-2E43-40BD-94CB-C22B7D634B42}">
      <dgm:prSet/>
      <dgm:spPr/>
      <dgm:t>
        <a:bodyPr/>
        <a:lstStyle/>
        <a:p>
          <a:endParaRPr lang="en-GB" sz="1800" b="1">
            <a:solidFill>
              <a:srgbClr val="FFFF00"/>
            </a:solidFill>
          </a:endParaRPr>
        </a:p>
      </dgm:t>
    </dgm:pt>
    <dgm:pt modelId="{8AA658FF-D8D5-477F-92FE-2607B812EF26}" type="sibTrans" cxnId="{3227C128-2E43-40BD-94CB-C22B7D634B42}">
      <dgm:prSet/>
      <dgm:spPr/>
      <dgm:t>
        <a:bodyPr/>
        <a:lstStyle/>
        <a:p>
          <a:endParaRPr lang="en-GB" sz="1800" b="1">
            <a:solidFill>
              <a:srgbClr val="FFFF00"/>
            </a:solidFill>
          </a:endParaRPr>
        </a:p>
      </dgm:t>
    </dgm:pt>
    <dgm:pt modelId="{D61EFCB1-AB14-4E93-8154-E4073397C83A}">
      <dgm:prSet custT="1"/>
      <dgm:spPr/>
      <dgm:t>
        <a:bodyPr/>
        <a:lstStyle/>
        <a:p>
          <a:r>
            <a:rPr lang="en-GB" sz="800" b="1">
              <a:solidFill>
                <a:srgbClr val="FFFF00"/>
              </a:solidFill>
            </a:rPr>
            <a:t>6 Weekly Operational Delivery Group</a:t>
          </a:r>
        </a:p>
      </dgm:t>
    </dgm:pt>
    <dgm:pt modelId="{02169D29-8E92-4BAA-BCDB-0E182D749579}" type="parTrans" cxnId="{CD77802F-11EA-442D-819C-9CC6C7223109}">
      <dgm:prSet/>
      <dgm:spPr/>
      <dgm:t>
        <a:bodyPr/>
        <a:lstStyle/>
        <a:p>
          <a:endParaRPr lang="en-GB" sz="1800" b="1">
            <a:solidFill>
              <a:srgbClr val="FFFF00"/>
            </a:solidFill>
          </a:endParaRPr>
        </a:p>
      </dgm:t>
    </dgm:pt>
    <dgm:pt modelId="{D852C3B9-C65F-4877-89EF-67D8ADFCAF2F}" type="sibTrans" cxnId="{CD77802F-11EA-442D-819C-9CC6C7223109}">
      <dgm:prSet/>
      <dgm:spPr/>
      <dgm:t>
        <a:bodyPr/>
        <a:lstStyle/>
        <a:p>
          <a:endParaRPr lang="en-GB" sz="1800" b="1">
            <a:solidFill>
              <a:srgbClr val="FFFF00"/>
            </a:solidFill>
          </a:endParaRPr>
        </a:p>
      </dgm:t>
    </dgm:pt>
    <dgm:pt modelId="{BB8388A9-D606-4112-B8A7-2585AE94B8C5}">
      <dgm:prSet custT="1"/>
      <dgm:spPr/>
      <dgm:t>
        <a:bodyPr/>
        <a:lstStyle/>
        <a:p>
          <a:r>
            <a:rPr lang="en-GB" sz="800" b="1">
              <a:solidFill>
                <a:srgbClr val="FFFF00"/>
              </a:solidFill>
            </a:rPr>
            <a:t>3 Monthly Senior Management Group</a:t>
          </a:r>
        </a:p>
      </dgm:t>
    </dgm:pt>
    <dgm:pt modelId="{2606AA68-D359-4162-9A5D-A5EA9F5E6992}" type="parTrans" cxnId="{DCB8CC0F-9DBE-4E4C-8145-40C51D0A75C2}">
      <dgm:prSet/>
      <dgm:spPr/>
      <dgm:t>
        <a:bodyPr/>
        <a:lstStyle/>
        <a:p>
          <a:endParaRPr lang="en-GB" sz="1800" b="1">
            <a:solidFill>
              <a:srgbClr val="FFFF00"/>
            </a:solidFill>
          </a:endParaRPr>
        </a:p>
      </dgm:t>
    </dgm:pt>
    <dgm:pt modelId="{697FCA70-252E-4864-B1ED-8710329FC2E3}" type="sibTrans" cxnId="{DCB8CC0F-9DBE-4E4C-8145-40C51D0A75C2}">
      <dgm:prSet/>
      <dgm:spPr/>
      <dgm:t>
        <a:bodyPr/>
        <a:lstStyle/>
        <a:p>
          <a:endParaRPr lang="en-GB" sz="1800" b="1">
            <a:solidFill>
              <a:srgbClr val="FFFF00"/>
            </a:solidFill>
          </a:endParaRPr>
        </a:p>
      </dgm:t>
    </dgm:pt>
    <dgm:pt modelId="{B0D1E7BC-C3BD-4F4A-8E75-397F73363251}" type="pres">
      <dgm:prSet presAssocID="{9E0DD194-6DB1-43D7-8603-C17058244AA6}" presName="Name0" presStyleCnt="0">
        <dgm:presLayoutVars>
          <dgm:dir/>
          <dgm:animLvl val="lvl"/>
          <dgm:resizeHandles val="exact"/>
        </dgm:presLayoutVars>
      </dgm:prSet>
      <dgm:spPr/>
    </dgm:pt>
    <dgm:pt modelId="{A581AC7B-3B81-40D7-BECB-E340FF656981}" type="pres">
      <dgm:prSet presAssocID="{E54BE0A7-503C-422A-B044-ACB5BA919FDF}" presName="parTxOnly" presStyleLbl="node1" presStyleIdx="0" presStyleCnt="5">
        <dgm:presLayoutVars>
          <dgm:chMax val="0"/>
          <dgm:chPref val="0"/>
          <dgm:bulletEnabled val="1"/>
        </dgm:presLayoutVars>
      </dgm:prSet>
      <dgm:spPr/>
    </dgm:pt>
    <dgm:pt modelId="{BD637E17-325F-4041-8DC1-6704856039E3}" type="pres">
      <dgm:prSet presAssocID="{724D09CF-FA90-4A1B-8846-F96730D4073C}" presName="parTxOnlySpace" presStyleCnt="0"/>
      <dgm:spPr/>
    </dgm:pt>
    <dgm:pt modelId="{26EE84E0-E64F-4E15-A2F3-F176285D97CB}" type="pres">
      <dgm:prSet presAssocID="{670D23E8-2277-4189-90FB-EFA5565E836E}" presName="parTxOnly" presStyleLbl="node1" presStyleIdx="1" presStyleCnt="5">
        <dgm:presLayoutVars>
          <dgm:chMax val="0"/>
          <dgm:chPref val="0"/>
          <dgm:bulletEnabled val="1"/>
        </dgm:presLayoutVars>
      </dgm:prSet>
      <dgm:spPr/>
    </dgm:pt>
    <dgm:pt modelId="{45B645F8-D103-44D3-99F0-A81288F90111}" type="pres">
      <dgm:prSet presAssocID="{27F1A4F3-2613-4A49-A711-67AC2733AD56}" presName="parTxOnlySpace" presStyleCnt="0"/>
      <dgm:spPr/>
    </dgm:pt>
    <dgm:pt modelId="{F7934BB0-A18C-4C60-BCF3-DD32077AB29F}" type="pres">
      <dgm:prSet presAssocID="{E89740C4-769E-4BC9-BC2C-C6F9EEAE11CE}" presName="parTxOnly" presStyleLbl="node1" presStyleIdx="2" presStyleCnt="5">
        <dgm:presLayoutVars>
          <dgm:chMax val="0"/>
          <dgm:chPref val="0"/>
          <dgm:bulletEnabled val="1"/>
        </dgm:presLayoutVars>
      </dgm:prSet>
      <dgm:spPr/>
    </dgm:pt>
    <dgm:pt modelId="{D0B3B316-8CD8-4980-AB1E-BF91106A8681}" type="pres">
      <dgm:prSet presAssocID="{8AA658FF-D8D5-477F-92FE-2607B812EF26}" presName="parTxOnlySpace" presStyleCnt="0"/>
      <dgm:spPr/>
    </dgm:pt>
    <dgm:pt modelId="{5A315FD3-095D-40C3-9868-39FF0C3C0167}" type="pres">
      <dgm:prSet presAssocID="{D61EFCB1-AB14-4E93-8154-E4073397C83A}" presName="parTxOnly" presStyleLbl="node1" presStyleIdx="3" presStyleCnt="5">
        <dgm:presLayoutVars>
          <dgm:chMax val="0"/>
          <dgm:chPref val="0"/>
          <dgm:bulletEnabled val="1"/>
        </dgm:presLayoutVars>
      </dgm:prSet>
      <dgm:spPr/>
    </dgm:pt>
    <dgm:pt modelId="{B0B37F47-15BB-4D24-B77B-072D11916CF1}" type="pres">
      <dgm:prSet presAssocID="{D852C3B9-C65F-4877-89EF-67D8ADFCAF2F}" presName="parTxOnlySpace" presStyleCnt="0"/>
      <dgm:spPr/>
    </dgm:pt>
    <dgm:pt modelId="{B3C99C21-71FC-4EED-BDEA-A3CCEE1A841B}" type="pres">
      <dgm:prSet presAssocID="{BB8388A9-D606-4112-B8A7-2585AE94B8C5}" presName="parTxOnly" presStyleLbl="node1" presStyleIdx="4" presStyleCnt="5">
        <dgm:presLayoutVars>
          <dgm:chMax val="0"/>
          <dgm:chPref val="0"/>
          <dgm:bulletEnabled val="1"/>
        </dgm:presLayoutVars>
      </dgm:prSet>
      <dgm:spPr/>
    </dgm:pt>
  </dgm:ptLst>
  <dgm:cxnLst>
    <dgm:cxn modelId="{DCB8CC0F-9DBE-4E4C-8145-40C51D0A75C2}" srcId="{9E0DD194-6DB1-43D7-8603-C17058244AA6}" destId="{BB8388A9-D606-4112-B8A7-2585AE94B8C5}" srcOrd="4" destOrd="0" parTransId="{2606AA68-D359-4162-9A5D-A5EA9F5E6992}" sibTransId="{697FCA70-252E-4864-B1ED-8710329FC2E3}"/>
    <dgm:cxn modelId="{BEE10113-5575-45E0-AC3B-92A652E4EF75}" type="presOf" srcId="{670D23E8-2277-4189-90FB-EFA5565E836E}" destId="{26EE84E0-E64F-4E15-A2F3-F176285D97CB}" srcOrd="0" destOrd="0" presId="urn:microsoft.com/office/officeart/2005/8/layout/chevron1"/>
    <dgm:cxn modelId="{3227C128-2E43-40BD-94CB-C22B7D634B42}" srcId="{9E0DD194-6DB1-43D7-8603-C17058244AA6}" destId="{E89740C4-769E-4BC9-BC2C-C6F9EEAE11CE}" srcOrd="2" destOrd="0" parTransId="{B01276EF-DB57-4FA2-8DF7-FAFCE5AE3D19}" sibTransId="{8AA658FF-D8D5-477F-92FE-2607B812EF26}"/>
    <dgm:cxn modelId="{CD77802F-11EA-442D-819C-9CC6C7223109}" srcId="{9E0DD194-6DB1-43D7-8603-C17058244AA6}" destId="{D61EFCB1-AB14-4E93-8154-E4073397C83A}" srcOrd="3" destOrd="0" parTransId="{02169D29-8E92-4BAA-BCDB-0E182D749579}" sibTransId="{D852C3B9-C65F-4877-89EF-67D8ADFCAF2F}"/>
    <dgm:cxn modelId="{C2BC4F6F-308A-46B1-A1BE-E3B3BF6701D2}" type="presOf" srcId="{D61EFCB1-AB14-4E93-8154-E4073397C83A}" destId="{5A315FD3-095D-40C3-9868-39FF0C3C0167}" srcOrd="0" destOrd="0" presId="urn:microsoft.com/office/officeart/2005/8/layout/chevron1"/>
    <dgm:cxn modelId="{2FA48F7B-D7FB-4759-9AC3-DA6EB58DA62F}" srcId="{9E0DD194-6DB1-43D7-8603-C17058244AA6}" destId="{E54BE0A7-503C-422A-B044-ACB5BA919FDF}" srcOrd="0" destOrd="0" parTransId="{C56342E3-568D-4F81-9116-7CA310E9CE12}" sibTransId="{724D09CF-FA90-4A1B-8846-F96730D4073C}"/>
    <dgm:cxn modelId="{95D4BE80-E34F-4651-BB76-4B02D1FC7885}" srcId="{9E0DD194-6DB1-43D7-8603-C17058244AA6}" destId="{670D23E8-2277-4189-90FB-EFA5565E836E}" srcOrd="1" destOrd="0" parTransId="{B8BAFFDA-E5DC-463E-85A4-B2DCE9561417}" sibTransId="{27F1A4F3-2613-4A49-A711-67AC2733AD56}"/>
    <dgm:cxn modelId="{B22F1084-93C2-47A8-BA38-83D9A9D4B934}" type="presOf" srcId="{E89740C4-769E-4BC9-BC2C-C6F9EEAE11CE}" destId="{F7934BB0-A18C-4C60-BCF3-DD32077AB29F}" srcOrd="0" destOrd="0" presId="urn:microsoft.com/office/officeart/2005/8/layout/chevron1"/>
    <dgm:cxn modelId="{A0305C8C-A8FE-4CCA-A73D-B5D72BDCB8E0}" type="presOf" srcId="{9E0DD194-6DB1-43D7-8603-C17058244AA6}" destId="{B0D1E7BC-C3BD-4F4A-8E75-397F73363251}" srcOrd="0" destOrd="0" presId="urn:microsoft.com/office/officeart/2005/8/layout/chevron1"/>
    <dgm:cxn modelId="{9C2F5496-A4F5-47F6-B489-17F5F16E22C1}" type="presOf" srcId="{E54BE0A7-503C-422A-B044-ACB5BA919FDF}" destId="{A581AC7B-3B81-40D7-BECB-E340FF656981}" srcOrd="0" destOrd="0" presId="urn:microsoft.com/office/officeart/2005/8/layout/chevron1"/>
    <dgm:cxn modelId="{A4EE19AA-63EF-4999-B23E-D656ED92FB51}" type="presOf" srcId="{BB8388A9-D606-4112-B8A7-2585AE94B8C5}" destId="{B3C99C21-71FC-4EED-BDEA-A3CCEE1A841B}" srcOrd="0" destOrd="0" presId="urn:microsoft.com/office/officeart/2005/8/layout/chevron1"/>
    <dgm:cxn modelId="{E437E1E9-8891-4355-A5E7-97F97EA38E52}" type="presParOf" srcId="{B0D1E7BC-C3BD-4F4A-8E75-397F73363251}" destId="{A581AC7B-3B81-40D7-BECB-E340FF656981}" srcOrd="0" destOrd="0" presId="urn:microsoft.com/office/officeart/2005/8/layout/chevron1"/>
    <dgm:cxn modelId="{B5F0CD8E-48AA-4DE2-9210-A14E10524F2D}" type="presParOf" srcId="{B0D1E7BC-C3BD-4F4A-8E75-397F73363251}" destId="{BD637E17-325F-4041-8DC1-6704856039E3}" srcOrd="1" destOrd="0" presId="urn:microsoft.com/office/officeart/2005/8/layout/chevron1"/>
    <dgm:cxn modelId="{B68B9960-9163-41F0-8985-CF3F958AAA35}" type="presParOf" srcId="{B0D1E7BC-C3BD-4F4A-8E75-397F73363251}" destId="{26EE84E0-E64F-4E15-A2F3-F176285D97CB}" srcOrd="2" destOrd="0" presId="urn:microsoft.com/office/officeart/2005/8/layout/chevron1"/>
    <dgm:cxn modelId="{A258577B-E7A2-4473-A68A-B9FB58D095CD}" type="presParOf" srcId="{B0D1E7BC-C3BD-4F4A-8E75-397F73363251}" destId="{45B645F8-D103-44D3-99F0-A81288F90111}" srcOrd="3" destOrd="0" presId="urn:microsoft.com/office/officeart/2005/8/layout/chevron1"/>
    <dgm:cxn modelId="{AEE7038E-5B1B-499A-887B-5465F0A97EA3}" type="presParOf" srcId="{B0D1E7BC-C3BD-4F4A-8E75-397F73363251}" destId="{F7934BB0-A18C-4C60-BCF3-DD32077AB29F}" srcOrd="4" destOrd="0" presId="urn:microsoft.com/office/officeart/2005/8/layout/chevron1"/>
    <dgm:cxn modelId="{89B8EDD9-89D8-4770-9881-8A4E3DDCE8CD}" type="presParOf" srcId="{B0D1E7BC-C3BD-4F4A-8E75-397F73363251}" destId="{D0B3B316-8CD8-4980-AB1E-BF91106A8681}" srcOrd="5" destOrd="0" presId="urn:microsoft.com/office/officeart/2005/8/layout/chevron1"/>
    <dgm:cxn modelId="{ECF2B398-1C99-46E8-8E14-E4C1650AC1D8}" type="presParOf" srcId="{B0D1E7BC-C3BD-4F4A-8E75-397F73363251}" destId="{5A315FD3-095D-40C3-9868-39FF0C3C0167}" srcOrd="6" destOrd="0" presId="urn:microsoft.com/office/officeart/2005/8/layout/chevron1"/>
    <dgm:cxn modelId="{C75F2574-A1DB-46F7-91D7-64B2BD13D70C}" type="presParOf" srcId="{B0D1E7BC-C3BD-4F4A-8E75-397F73363251}" destId="{B0B37F47-15BB-4D24-B77B-072D11916CF1}" srcOrd="7" destOrd="0" presId="urn:microsoft.com/office/officeart/2005/8/layout/chevron1"/>
    <dgm:cxn modelId="{A64527F9-AEB0-43F3-976D-2AEFAEAFF33F}" type="presParOf" srcId="{B0D1E7BC-C3BD-4F4A-8E75-397F73363251}" destId="{B3C99C21-71FC-4EED-BDEA-A3CCEE1A841B}" srcOrd="8"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1AC7B-3B81-40D7-BECB-E340FF656981}">
      <dsp:nvSpPr>
        <dsp:cNvPr id="0" name=""/>
        <dsp:cNvSpPr/>
      </dsp:nvSpPr>
      <dsp:spPr>
        <a:xfrm>
          <a:off x="1625" y="0"/>
          <a:ext cx="1447093" cy="5346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b="1" kern="1200">
              <a:solidFill>
                <a:srgbClr val="FFFF00"/>
              </a:solidFill>
            </a:rPr>
            <a:t>Weekly MACE Level 1 &amp; 2</a:t>
          </a:r>
        </a:p>
      </dsp:txBody>
      <dsp:txXfrm>
        <a:off x="268960" y="0"/>
        <a:ext cx="912423" cy="534670"/>
      </dsp:txXfrm>
    </dsp:sp>
    <dsp:sp modelId="{26EE84E0-E64F-4E15-A2F3-F176285D97CB}">
      <dsp:nvSpPr>
        <dsp:cNvPr id="0" name=""/>
        <dsp:cNvSpPr/>
      </dsp:nvSpPr>
      <dsp:spPr>
        <a:xfrm>
          <a:off x="1304009" y="0"/>
          <a:ext cx="1447093" cy="5346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b="1" kern="1200">
              <a:solidFill>
                <a:srgbClr val="FFFF00"/>
              </a:solidFill>
            </a:rPr>
            <a:t>6 Weekly Operational CEM Steering Group</a:t>
          </a:r>
        </a:p>
      </dsp:txBody>
      <dsp:txXfrm>
        <a:off x="1571344" y="0"/>
        <a:ext cx="912423" cy="534670"/>
      </dsp:txXfrm>
    </dsp:sp>
    <dsp:sp modelId="{F7934BB0-A18C-4C60-BCF3-DD32077AB29F}">
      <dsp:nvSpPr>
        <dsp:cNvPr id="0" name=""/>
        <dsp:cNvSpPr/>
      </dsp:nvSpPr>
      <dsp:spPr>
        <a:xfrm>
          <a:off x="2606393" y="0"/>
          <a:ext cx="1447093" cy="5346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b="1" kern="1200">
              <a:solidFill>
                <a:srgbClr val="FFFF00"/>
              </a:solidFill>
            </a:rPr>
            <a:t>3 monthly Strategic CEM Sub-Group</a:t>
          </a:r>
        </a:p>
      </dsp:txBody>
      <dsp:txXfrm>
        <a:off x="2873728" y="0"/>
        <a:ext cx="912423" cy="534670"/>
      </dsp:txXfrm>
    </dsp:sp>
    <dsp:sp modelId="{5A315FD3-095D-40C3-9868-39FF0C3C0167}">
      <dsp:nvSpPr>
        <dsp:cNvPr id="0" name=""/>
        <dsp:cNvSpPr/>
      </dsp:nvSpPr>
      <dsp:spPr>
        <a:xfrm>
          <a:off x="3908777" y="0"/>
          <a:ext cx="1447093" cy="5346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b="1" kern="1200">
              <a:solidFill>
                <a:srgbClr val="FFFF00"/>
              </a:solidFill>
            </a:rPr>
            <a:t>6 Weekly Operational Delivery Group</a:t>
          </a:r>
        </a:p>
      </dsp:txBody>
      <dsp:txXfrm>
        <a:off x="4176112" y="0"/>
        <a:ext cx="912423" cy="534670"/>
      </dsp:txXfrm>
    </dsp:sp>
    <dsp:sp modelId="{B3C99C21-71FC-4EED-BDEA-A3CCEE1A841B}">
      <dsp:nvSpPr>
        <dsp:cNvPr id="0" name=""/>
        <dsp:cNvSpPr/>
      </dsp:nvSpPr>
      <dsp:spPr>
        <a:xfrm>
          <a:off x="5211160" y="0"/>
          <a:ext cx="1447093" cy="53467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b="1" kern="1200">
              <a:solidFill>
                <a:srgbClr val="FFFF00"/>
              </a:solidFill>
            </a:rPr>
            <a:t>3 Monthly Senior Management Group</a:t>
          </a:r>
        </a:p>
      </dsp:txBody>
      <dsp:txXfrm>
        <a:off x="5478495" y="0"/>
        <a:ext cx="912423" cy="5346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CBBFEA121544391C6D99C9BCD5047" ma:contentTypeVersion="5" ma:contentTypeDescription="Create a new document." ma:contentTypeScope="" ma:versionID="f8a3901899d45736c53c0f7df996f6ee">
  <xsd:schema xmlns:xsd="http://www.w3.org/2001/XMLSchema" xmlns:xs="http://www.w3.org/2001/XMLSchema" xmlns:p="http://schemas.microsoft.com/office/2006/metadata/properties" xmlns:ns2="ebbea5d4-96d3-44d7-a80f-7a992302a947" xmlns:ns3="30dbe503-8198-436e-86ce-707d7ec30c6d" targetNamespace="http://schemas.microsoft.com/office/2006/metadata/properties" ma:root="true" ma:fieldsID="8dae5d6c2d4dd9f6d3330d435e61e575" ns2:_="" ns3:_="">
    <xsd:import namespace="ebbea5d4-96d3-44d7-a80f-7a992302a947"/>
    <xsd:import namespace="30dbe503-8198-436e-86ce-707d7ec30c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ea5d4-96d3-44d7-a80f-7a992302a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e503-8198-436e-86ce-707d7ec30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9C0DD-ECDC-4EF8-9A67-7A534567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ea5d4-96d3-44d7-a80f-7a992302a947"/>
    <ds:schemaRef ds:uri="30dbe503-8198-436e-86ce-707d7ec30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BA6A-0230-4D1D-9FF3-EAA10E58EA1A}">
  <ds:schemaRefs>
    <ds:schemaRef ds:uri="http://schemas.openxmlformats.org/officeDocument/2006/bibliography"/>
  </ds:schemaRefs>
</ds:datastoreItem>
</file>

<file path=customXml/itemProps3.xml><?xml version="1.0" encoding="utf-8"?>
<ds:datastoreItem xmlns:ds="http://schemas.openxmlformats.org/officeDocument/2006/customXml" ds:itemID="{BFC061B0-78F1-4698-B032-3BADE8B6FFEC}">
  <ds:schemaRefs>
    <ds:schemaRef ds:uri="http://schemas.microsoft.com/sharepoint/v3/contenttype/forms"/>
  </ds:schemaRefs>
</ds:datastoreItem>
</file>

<file path=customXml/itemProps4.xml><?xml version="1.0" encoding="utf-8"?>
<ds:datastoreItem xmlns:ds="http://schemas.openxmlformats.org/officeDocument/2006/customXml" ds:itemID="{C926AFC6-6EB7-4F90-88C6-2CEE5731580D}">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purl.org/dc/terms/"/>
    <ds:schemaRef ds:uri="30dbe503-8198-436e-86ce-707d7ec30c6d"/>
    <ds:schemaRef ds:uri="ebbea5d4-96d3-44d7-a80f-7a992302a947"/>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Links>
    <vt:vector size="42" baseType="variant">
      <vt:variant>
        <vt:i4>5242943</vt:i4>
      </vt:variant>
      <vt:variant>
        <vt:i4>36</vt:i4>
      </vt:variant>
      <vt:variant>
        <vt:i4>0</vt:i4>
      </vt:variant>
      <vt:variant>
        <vt:i4>5</vt:i4>
      </vt:variant>
      <vt:variant>
        <vt:lpwstr>mailto:LSCP@lincolnshire.gov.uk</vt:lpwstr>
      </vt:variant>
      <vt:variant>
        <vt:lpwstr/>
      </vt:variant>
      <vt:variant>
        <vt:i4>589845</vt:i4>
      </vt:variant>
      <vt:variant>
        <vt:i4>33</vt:i4>
      </vt:variant>
      <vt:variant>
        <vt:i4>0</vt:i4>
      </vt:variant>
      <vt:variant>
        <vt:i4>5</vt:i4>
      </vt:variant>
      <vt:variant>
        <vt:lpwstr>https://app.powerbi.com/groups/me/apps/d38490e0-de99-43f8-a032-4839470807cf/reports/6b921a50-531c-4220-b964-e1ab55af9259/ReportSection?ctid=b4e05b92-f8ce-46b5-9b24-99ba5c11e5e9</vt:lpwstr>
      </vt:variant>
      <vt:variant>
        <vt:lpwstr/>
      </vt:variant>
      <vt:variant>
        <vt:i4>1966143</vt:i4>
      </vt:variant>
      <vt:variant>
        <vt:i4>26</vt:i4>
      </vt:variant>
      <vt:variant>
        <vt:i4>0</vt:i4>
      </vt:variant>
      <vt:variant>
        <vt:i4>5</vt:i4>
      </vt:variant>
      <vt:variant>
        <vt:lpwstr/>
      </vt:variant>
      <vt:variant>
        <vt:lpwstr>_Toc112855952</vt:lpwstr>
      </vt:variant>
      <vt:variant>
        <vt:i4>1966143</vt:i4>
      </vt:variant>
      <vt:variant>
        <vt:i4>20</vt:i4>
      </vt:variant>
      <vt:variant>
        <vt:i4>0</vt:i4>
      </vt:variant>
      <vt:variant>
        <vt:i4>5</vt:i4>
      </vt:variant>
      <vt:variant>
        <vt:lpwstr/>
      </vt:variant>
      <vt:variant>
        <vt:lpwstr>_Toc112855951</vt:lpwstr>
      </vt:variant>
      <vt:variant>
        <vt:i4>1966143</vt:i4>
      </vt:variant>
      <vt:variant>
        <vt:i4>14</vt:i4>
      </vt:variant>
      <vt:variant>
        <vt:i4>0</vt:i4>
      </vt:variant>
      <vt:variant>
        <vt:i4>5</vt:i4>
      </vt:variant>
      <vt:variant>
        <vt:lpwstr/>
      </vt:variant>
      <vt:variant>
        <vt:lpwstr>_Toc112855950</vt:lpwstr>
      </vt:variant>
      <vt:variant>
        <vt:i4>2031679</vt:i4>
      </vt:variant>
      <vt:variant>
        <vt:i4>8</vt:i4>
      </vt:variant>
      <vt:variant>
        <vt:i4>0</vt:i4>
      </vt:variant>
      <vt:variant>
        <vt:i4>5</vt:i4>
      </vt:variant>
      <vt:variant>
        <vt:lpwstr/>
      </vt:variant>
      <vt:variant>
        <vt:lpwstr>_Toc112855949</vt:lpwstr>
      </vt:variant>
      <vt:variant>
        <vt:i4>2031679</vt:i4>
      </vt:variant>
      <vt:variant>
        <vt:i4>2</vt:i4>
      </vt:variant>
      <vt:variant>
        <vt:i4>0</vt:i4>
      </vt:variant>
      <vt:variant>
        <vt:i4>5</vt:i4>
      </vt:variant>
      <vt:variant>
        <vt:lpwstr/>
      </vt:variant>
      <vt:variant>
        <vt:lpwstr>_Toc112855948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Waller</dc:creator>
  <cp:keywords/>
  <dc:description/>
  <cp:lastModifiedBy>Trevor Stratton</cp:lastModifiedBy>
  <cp:revision>53</cp:revision>
  <dcterms:created xsi:type="dcterms:W3CDTF">2022-08-09T16:40:00Z</dcterms:created>
  <dcterms:modified xsi:type="dcterms:W3CDTF">2023-10-03T09:18:00Z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0x010100A05CBBFEA121544391C6D99C9BCD5047</vt:lpwstr>
  </property>
  <property fmtid="{D5CDD505-2E9C-101B-9397-08002B2CF9AE}" pid="3" name="MediaServiceImageTags">
    <vt:lpwstr/>
  </property>
</Properties>
</file>