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8FAD" w14:textId="5D67584E" w:rsidR="00BC6632" w:rsidRPr="00BC6632" w:rsidRDefault="00FB60A5" w:rsidP="00BC6632">
      <w:pPr>
        <w:jc w:val="right"/>
        <w:rPr>
          <w:rFonts w:ascii="Arial" w:hAnsi="Arial" w:cs="Arial"/>
          <w:b/>
          <w:bCs/>
          <w:sz w:val="38"/>
          <w:szCs w:val="38"/>
        </w:rPr>
      </w:pPr>
      <w:bookmarkStart w:id="0" w:name="_Hlk108074565"/>
      <w:r w:rsidRPr="00BC6632">
        <w:rPr>
          <w:rFonts w:ascii="Arial" w:eastAsiaTheme="minorEastAsia" w:hAnsi="Arial" w:cs="Arial"/>
          <w:b/>
          <w:bCs/>
          <w:noProof/>
          <w:color w:val="002060"/>
          <w:sz w:val="72"/>
          <w:szCs w:val="72"/>
          <w:lang w:eastAsia="en-GB"/>
        </w:rPr>
        <w:drawing>
          <wp:anchor distT="0" distB="0" distL="114300" distR="114300" simplePos="0" relativeHeight="251658240" behindDoc="1" locked="0" layoutInCell="1" allowOverlap="1" wp14:anchorId="14AF71D4" wp14:editId="5451511C">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BC6632" w:rsidRPr="00BC6632">
        <w:rPr>
          <w:rFonts w:cs="Arial"/>
          <w:b/>
          <w:bCs/>
          <w:color w:val="4472C4" w:themeColor="accent1"/>
          <w:sz w:val="40"/>
        </w:rPr>
        <w:t xml:space="preserve"> </w:t>
      </w:r>
      <w:r w:rsidR="00BC6632" w:rsidRPr="00BC6632">
        <w:rPr>
          <w:rFonts w:ascii="Arial" w:hAnsi="Arial" w:cs="Arial"/>
          <w:b/>
          <w:bCs/>
          <w:sz w:val="38"/>
          <w:szCs w:val="38"/>
        </w:rPr>
        <w:t xml:space="preserve">Criteria for referrals to </w:t>
      </w:r>
    </w:p>
    <w:p w14:paraId="13D8A310" w14:textId="77777777" w:rsidR="00BC6632" w:rsidRPr="00BC6632" w:rsidRDefault="00BC6632" w:rsidP="00BC6632">
      <w:pPr>
        <w:jc w:val="right"/>
        <w:rPr>
          <w:rFonts w:ascii="Arial" w:hAnsi="Arial" w:cs="Arial"/>
          <w:b/>
          <w:bCs/>
          <w:sz w:val="38"/>
          <w:szCs w:val="38"/>
        </w:rPr>
      </w:pPr>
      <w:r w:rsidRPr="00BC6632">
        <w:rPr>
          <w:rFonts w:ascii="Arial" w:hAnsi="Arial" w:cs="Arial"/>
          <w:b/>
          <w:bCs/>
          <w:sz w:val="38"/>
          <w:szCs w:val="38"/>
        </w:rPr>
        <w:t>Adolescent Support Teams (AST) and</w:t>
      </w:r>
    </w:p>
    <w:p w14:paraId="78F44DAA" w14:textId="77777777" w:rsidR="00BC6632" w:rsidRPr="00BC6632" w:rsidRDefault="00BC6632" w:rsidP="00BC6632">
      <w:pPr>
        <w:jc w:val="right"/>
        <w:rPr>
          <w:rFonts w:ascii="Arial" w:hAnsi="Arial" w:cs="Arial"/>
          <w:b/>
          <w:bCs/>
          <w:sz w:val="38"/>
          <w:szCs w:val="38"/>
        </w:rPr>
      </w:pPr>
      <w:r w:rsidRPr="00BC6632">
        <w:rPr>
          <w:rFonts w:ascii="Arial" w:hAnsi="Arial" w:cs="Arial"/>
          <w:b/>
          <w:bCs/>
          <w:sz w:val="38"/>
          <w:szCs w:val="38"/>
        </w:rPr>
        <w:t xml:space="preserve">Adolescent Early Help Units (AEH) </w:t>
      </w:r>
    </w:p>
    <w:p w14:paraId="2832D88D" w14:textId="61045B64" w:rsidR="003F6C2C" w:rsidRPr="002B3CC7" w:rsidRDefault="003F6C2C"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72"/>
          <w:szCs w:val="72"/>
          <w:lang w:eastAsia="en-GB"/>
        </w:rPr>
      </w:pPr>
    </w:p>
    <w:bookmarkEnd w:id="0"/>
    <w:bookmarkEnd w:id="1"/>
    <w:p w14:paraId="5107C60D" w14:textId="6CA69A5F" w:rsidR="004D3086" w:rsidRPr="000E1AE7" w:rsidRDefault="004D3086">
      <w:pPr>
        <w:rPr>
          <w:rFonts w:asciiTheme="majorHAnsi" w:hAnsiTheme="majorHAnsi" w:cstheme="majorHAnsi"/>
          <w:b/>
          <w:bCs/>
        </w:rPr>
      </w:pPr>
    </w:p>
    <w:p w14:paraId="73B69FD2" w14:textId="31E9C96B" w:rsidR="009D1745" w:rsidRDefault="00DF2599" w:rsidP="00DF38F5">
      <w:pPr>
        <w:jc w:val="right"/>
      </w:pPr>
      <w:r>
        <w:rPr>
          <w:noProof/>
        </w:rPr>
        <mc:AlternateContent>
          <mc:Choice Requires="wps">
            <w:drawing>
              <wp:inline distT="0" distB="0" distL="0" distR="0" wp14:anchorId="70E0D700" wp14:editId="7F591FA1">
                <wp:extent cx="2505075" cy="2743200"/>
                <wp:effectExtent l="0" t="0" r="0" b="0"/>
                <wp:docPr id="110215171" name="Text Box 1"/>
                <wp:cNvGraphicFramePr/>
                <a:graphic xmlns:a="http://schemas.openxmlformats.org/drawingml/2006/main">
                  <a:graphicData uri="http://schemas.microsoft.com/office/word/2010/wordprocessingShape">
                    <wps:wsp>
                      <wps:cNvSpPr txBox="1"/>
                      <wps:spPr>
                        <a:xfrm>
                          <a:off x="0" y="0"/>
                          <a:ext cx="2505075" cy="2743200"/>
                        </a:xfrm>
                        <a:prstGeom prst="rect">
                          <a:avLst/>
                        </a:prstGeom>
                        <a:noFill/>
                        <a:ln w="6350">
                          <a:noFill/>
                        </a:ln>
                      </wps:spPr>
                      <wps:txbx>
                        <w:txbxContent>
                          <w:p w14:paraId="0EFA61C5" w14:textId="2A0A2E82" w:rsidR="00DF2599" w:rsidRDefault="00DF2599" w:rsidP="00B93154">
                            <w:pPr>
                              <w:widowControl w:val="0"/>
                              <w:autoSpaceDE w:val="0"/>
                              <w:autoSpaceDN w:val="0"/>
                              <w:adjustRightInd w:val="0"/>
                              <w:spacing w:after="0" w:line="700" w:lineRule="exact"/>
                              <w:ind w:right="11"/>
                              <w:jc w:val="center"/>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Author</w:t>
                            </w:r>
                            <w:r w:rsidR="00BC6632">
                              <w:rPr>
                                <w:rFonts w:ascii="Arial" w:eastAsiaTheme="minorEastAsia" w:hAnsi="Arial" w:cs="Arial"/>
                                <w:b/>
                                <w:bCs/>
                                <w:sz w:val="24"/>
                                <w:szCs w:val="24"/>
                                <w:lang w:eastAsia="en-GB"/>
                              </w:rPr>
                              <w:t>: Dan Bride</w:t>
                            </w:r>
                          </w:p>
                          <w:p w14:paraId="30E88E6B" w14:textId="63A704C5" w:rsidR="00B93154" w:rsidRDefault="00B93154" w:rsidP="00B93154">
                            <w:pPr>
                              <w:widowControl w:val="0"/>
                              <w:autoSpaceDE w:val="0"/>
                              <w:autoSpaceDN w:val="0"/>
                              <w:adjustRightInd w:val="0"/>
                              <w:spacing w:after="0" w:line="700" w:lineRule="exact"/>
                              <w:ind w:right="11"/>
                              <w:jc w:val="center"/>
                              <w:rPr>
                                <w:rFonts w:ascii="Arial" w:eastAsiaTheme="minorEastAsia" w:hAnsi="Arial" w:cs="Arial"/>
                                <w:b/>
                                <w:bCs/>
                                <w:sz w:val="24"/>
                                <w:szCs w:val="24"/>
                                <w:lang w:eastAsia="en-GB"/>
                              </w:rPr>
                            </w:pPr>
                            <w:r>
                              <w:rPr>
                                <w:rFonts w:ascii="Arial" w:eastAsiaTheme="minorEastAsia" w:hAnsi="Arial" w:cs="Arial"/>
                                <w:b/>
                                <w:bCs/>
                                <w:sz w:val="24"/>
                                <w:szCs w:val="24"/>
                                <w:lang w:eastAsia="en-GB"/>
                              </w:rPr>
                              <w:t>Name of Senior Manager</w:t>
                            </w:r>
                          </w:p>
                          <w:p w14:paraId="1FF46A04" w14:textId="196EE7B7" w:rsidR="00B93154" w:rsidRPr="00CF1F20" w:rsidRDefault="00B93154" w:rsidP="00B93154">
                            <w:pPr>
                              <w:widowControl w:val="0"/>
                              <w:autoSpaceDE w:val="0"/>
                              <w:autoSpaceDN w:val="0"/>
                              <w:adjustRightInd w:val="0"/>
                              <w:spacing w:after="0" w:line="700" w:lineRule="exact"/>
                              <w:ind w:right="11"/>
                              <w:jc w:val="center"/>
                              <w:rPr>
                                <w:rFonts w:ascii="Arial" w:eastAsiaTheme="minorEastAsia" w:hAnsi="Arial" w:cs="Arial"/>
                                <w:b/>
                                <w:bCs/>
                                <w:sz w:val="24"/>
                                <w:szCs w:val="24"/>
                                <w:lang w:eastAsia="en-GB"/>
                              </w:rPr>
                            </w:pPr>
                            <w:r>
                              <w:rPr>
                                <w:rFonts w:ascii="Arial" w:eastAsiaTheme="minorEastAsia" w:hAnsi="Arial" w:cs="Arial"/>
                                <w:b/>
                                <w:bCs/>
                                <w:sz w:val="24"/>
                                <w:szCs w:val="24"/>
                                <w:lang w:eastAsia="en-GB"/>
                              </w:rPr>
                              <w:t>Approving:  Dan Bride</w:t>
                            </w:r>
                          </w:p>
                          <w:p w14:paraId="39141569" w14:textId="4EBC0B68" w:rsidR="00DF2599" w:rsidRPr="00CF1F20" w:rsidRDefault="00DF2599" w:rsidP="00B93154">
                            <w:pPr>
                              <w:widowControl w:val="0"/>
                              <w:autoSpaceDE w:val="0"/>
                              <w:autoSpaceDN w:val="0"/>
                              <w:adjustRightInd w:val="0"/>
                              <w:spacing w:after="0" w:line="700" w:lineRule="exact"/>
                              <w:ind w:right="11"/>
                              <w:jc w:val="center"/>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BC6632">
                              <w:rPr>
                                <w:rFonts w:ascii="Arial" w:eastAsiaTheme="minorEastAsia" w:hAnsi="Arial" w:cs="Arial"/>
                                <w:b/>
                                <w:bCs/>
                                <w:sz w:val="24"/>
                                <w:szCs w:val="24"/>
                                <w:lang w:eastAsia="en-GB"/>
                              </w:rPr>
                              <w:t>February 2022</w:t>
                            </w:r>
                          </w:p>
                          <w:p w14:paraId="32FEEA65" w14:textId="07018396" w:rsidR="00B93154" w:rsidRDefault="00DF2599" w:rsidP="00B93154">
                            <w:pPr>
                              <w:widowControl w:val="0"/>
                              <w:autoSpaceDE w:val="0"/>
                              <w:autoSpaceDN w:val="0"/>
                              <w:adjustRightInd w:val="0"/>
                              <w:spacing w:after="0" w:line="700" w:lineRule="exact"/>
                              <w:ind w:right="11"/>
                              <w:jc w:val="center"/>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Date to be Reviewed:</w:t>
                            </w:r>
                          </w:p>
                          <w:p w14:paraId="52862E4B" w14:textId="27E6C372" w:rsidR="00DF2599" w:rsidRPr="00CF1F20" w:rsidRDefault="00B93154" w:rsidP="00B93154">
                            <w:pPr>
                              <w:widowControl w:val="0"/>
                              <w:autoSpaceDE w:val="0"/>
                              <w:autoSpaceDN w:val="0"/>
                              <w:adjustRightInd w:val="0"/>
                              <w:spacing w:after="0" w:line="700" w:lineRule="exact"/>
                              <w:ind w:right="11"/>
                              <w:jc w:val="center"/>
                              <w:rPr>
                                <w:rFonts w:ascii="Arial" w:eastAsiaTheme="minorEastAsia" w:hAnsi="Arial" w:cs="Arial"/>
                                <w:b/>
                                <w:bCs/>
                                <w:sz w:val="24"/>
                                <w:szCs w:val="24"/>
                                <w:lang w:eastAsia="en-GB"/>
                              </w:rPr>
                            </w:pPr>
                            <w:r>
                              <w:rPr>
                                <w:rFonts w:ascii="Arial" w:eastAsiaTheme="minorEastAsia" w:hAnsi="Arial" w:cs="Arial"/>
                                <w:b/>
                                <w:bCs/>
                                <w:sz w:val="24"/>
                                <w:szCs w:val="24"/>
                                <w:lang w:eastAsia="en-GB"/>
                              </w:rPr>
                              <w:t>February 2023</w:t>
                            </w:r>
                          </w:p>
                          <w:p w14:paraId="00AAC23A" w14:textId="77777777" w:rsidR="00DF2599" w:rsidRDefault="00DF2599" w:rsidP="00DF2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0E0D700" id="_x0000_t202" coordsize="21600,21600" o:spt="202" path="m,l,21600r21600,l21600,xe">
                <v:stroke joinstyle="miter"/>
                <v:path gradientshapeok="t" o:connecttype="rect"/>
              </v:shapetype>
              <v:shape id="Text Box 1" o:spid="_x0000_s1026" type="#_x0000_t202" style="width:197.2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" filled="f" stroked="f" strokeweight=".5pt">
                <v:textbox>
                  <w:txbxContent>
                    <w:p w14:paraId="0EFA61C5" w14:textId="2A0A2E82" w:rsidR="00DF2599" w:rsidRDefault="00DF2599" w:rsidP="00B93154">
                      <w:pPr>
                        <w:widowControl w:val="0"/>
                        <w:autoSpaceDE w:val="0"/>
                        <w:autoSpaceDN w:val="0"/>
                        <w:adjustRightInd w:val="0"/>
                        <w:spacing w:after="0" w:line="700" w:lineRule="exact"/>
                        <w:ind w:right="11"/>
                        <w:jc w:val="center"/>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Author</w:t>
                      </w:r>
                      <w:r w:rsidR="00BC6632">
                        <w:rPr>
                          <w:rFonts w:ascii="Arial" w:eastAsiaTheme="minorEastAsia" w:hAnsi="Arial" w:cs="Arial"/>
                          <w:b/>
                          <w:bCs/>
                          <w:sz w:val="24"/>
                          <w:szCs w:val="24"/>
                          <w:lang w:eastAsia="en-GB"/>
                        </w:rPr>
                        <w:t>: Dan Bride</w:t>
                      </w:r>
                    </w:p>
                    <w:p w14:paraId="30E88E6B" w14:textId="63A704C5" w:rsidR="00B93154" w:rsidRDefault="00B93154" w:rsidP="00B93154">
                      <w:pPr>
                        <w:widowControl w:val="0"/>
                        <w:autoSpaceDE w:val="0"/>
                        <w:autoSpaceDN w:val="0"/>
                        <w:adjustRightInd w:val="0"/>
                        <w:spacing w:after="0" w:line="700" w:lineRule="exact"/>
                        <w:ind w:right="11"/>
                        <w:jc w:val="center"/>
                        <w:rPr>
                          <w:rFonts w:ascii="Arial" w:eastAsiaTheme="minorEastAsia" w:hAnsi="Arial" w:cs="Arial"/>
                          <w:b/>
                          <w:bCs/>
                          <w:sz w:val="24"/>
                          <w:szCs w:val="24"/>
                          <w:lang w:eastAsia="en-GB"/>
                        </w:rPr>
                      </w:pPr>
                      <w:r>
                        <w:rPr>
                          <w:rFonts w:ascii="Arial" w:eastAsiaTheme="minorEastAsia" w:hAnsi="Arial" w:cs="Arial"/>
                          <w:b/>
                          <w:bCs/>
                          <w:sz w:val="24"/>
                          <w:szCs w:val="24"/>
                          <w:lang w:eastAsia="en-GB"/>
                        </w:rPr>
                        <w:t>Name of Senior Manager</w:t>
                      </w:r>
                    </w:p>
                    <w:p w14:paraId="1FF46A04" w14:textId="196EE7B7" w:rsidR="00B93154" w:rsidRPr="00CF1F20" w:rsidRDefault="00B93154" w:rsidP="00B93154">
                      <w:pPr>
                        <w:widowControl w:val="0"/>
                        <w:autoSpaceDE w:val="0"/>
                        <w:autoSpaceDN w:val="0"/>
                        <w:adjustRightInd w:val="0"/>
                        <w:spacing w:after="0" w:line="700" w:lineRule="exact"/>
                        <w:ind w:right="11"/>
                        <w:jc w:val="center"/>
                        <w:rPr>
                          <w:rFonts w:ascii="Arial" w:eastAsiaTheme="minorEastAsia" w:hAnsi="Arial" w:cs="Arial"/>
                          <w:b/>
                          <w:bCs/>
                          <w:sz w:val="24"/>
                          <w:szCs w:val="24"/>
                          <w:lang w:eastAsia="en-GB"/>
                        </w:rPr>
                      </w:pPr>
                      <w:r>
                        <w:rPr>
                          <w:rFonts w:ascii="Arial" w:eastAsiaTheme="minorEastAsia" w:hAnsi="Arial" w:cs="Arial"/>
                          <w:b/>
                          <w:bCs/>
                          <w:sz w:val="24"/>
                          <w:szCs w:val="24"/>
                          <w:lang w:eastAsia="en-GB"/>
                        </w:rPr>
                        <w:t>Approving:  Dan Bride</w:t>
                      </w:r>
                    </w:p>
                    <w:p w14:paraId="39141569" w14:textId="4EBC0B68" w:rsidR="00DF2599" w:rsidRPr="00CF1F20" w:rsidRDefault="00DF2599" w:rsidP="00B93154">
                      <w:pPr>
                        <w:widowControl w:val="0"/>
                        <w:autoSpaceDE w:val="0"/>
                        <w:autoSpaceDN w:val="0"/>
                        <w:adjustRightInd w:val="0"/>
                        <w:spacing w:after="0" w:line="700" w:lineRule="exact"/>
                        <w:ind w:right="11"/>
                        <w:jc w:val="center"/>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BC6632">
                        <w:rPr>
                          <w:rFonts w:ascii="Arial" w:eastAsiaTheme="minorEastAsia" w:hAnsi="Arial" w:cs="Arial"/>
                          <w:b/>
                          <w:bCs/>
                          <w:sz w:val="24"/>
                          <w:szCs w:val="24"/>
                          <w:lang w:eastAsia="en-GB"/>
                        </w:rPr>
                        <w:t>February 2022</w:t>
                      </w:r>
                    </w:p>
                    <w:p w14:paraId="32FEEA65" w14:textId="07018396" w:rsidR="00B93154" w:rsidRDefault="00DF2599" w:rsidP="00B93154">
                      <w:pPr>
                        <w:widowControl w:val="0"/>
                        <w:autoSpaceDE w:val="0"/>
                        <w:autoSpaceDN w:val="0"/>
                        <w:adjustRightInd w:val="0"/>
                        <w:spacing w:after="0" w:line="700" w:lineRule="exact"/>
                        <w:ind w:right="11"/>
                        <w:jc w:val="center"/>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Date to be Reviewed:</w:t>
                      </w:r>
                    </w:p>
                    <w:p w14:paraId="52862E4B" w14:textId="27E6C372" w:rsidR="00DF2599" w:rsidRPr="00CF1F20" w:rsidRDefault="00B93154" w:rsidP="00B93154">
                      <w:pPr>
                        <w:widowControl w:val="0"/>
                        <w:autoSpaceDE w:val="0"/>
                        <w:autoSpaceDN w:val="0"/>
                        <w:adjustRightInd w:val="0"/>
                        <w:spacing w:after="0" w:line="700" w:lineRule="exact"/>
                        <w:ind w:right="11"/>
                        <w:jc w:val="center"/>
                        <w:rPr>
                          <w:rFonts w:ascii="Arial" w:eastAsiaTheme="minorEastAsia" w:hAnsi="Arial" w:cs="Arial"/>
                          <w:b/>
                          <w:bCs/>
                          <w:sz w:val="24"/>
                          <w:szCs w:val="24"/>
                          <w:lang w:eastAsia="en-GB"/>
                        </w:rPr>
                      </w:pPr>
                      <w:r>
                        <w:rPr>
                          <w:rFonts w:ascii="Arial" w:eastAsiaTheme="minorEastAsia" w:hAnsi="Arial" w:cs="Arial"/>
                          <w:b/>
                          <w:bCs/>
                          <w:sz w:val="24"/>
                          <w:szCs w:val="24"/>
                          <w:lang w:eastAsia="en-GB"/>
                        </w:rPr>
                        <w:t>February 2023</w:t>
                      </w:r>
                    </w:p>
                    <w:p w14:paraId="00AAC23A" w14:textId="77777777" w:rsidR="00DF2599" w:rsidRDefault="00DF2599" w:rsidP="00DF2599"/>
                  </w:txbxContent>
                </v:textbox>
                <w10:anchorlock/>
              </v:shape>
            </w:pict>
          </mc:Fallback>
        </mc:AlternateContent>
      </w:r>
    </w:p>
    <w:p w14:paraId="17A6838C" w14:textId="5144D9C5"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133CD73D" w14:textId="744589F1" w:rsidR="003839A6" w:rsidRDefault="003839A6"/>
    <w:p w14:paraId="1AC85D6C" w14:textId="77777777" w:rsidR="00BC6632" w:rsidRDefault="00BC6632"/>
    <w:p w14:paraId="1699465E" w14:textId="77777777" w:rsidR="00BC6632" w:rsidRDefault="00BC6632"/>
    <w:p w14:paraId="10B88FE9" w14:textId="77777777" w:rsidR="00BC6632" w:rsidRDefault="00BC6632"/>
    <w:p w14:paraId="2027C59E" w14:textId="77777777" w:rsidR="00BC6632" w:rsidRDefault="00BC6632"/>
    <w:p w14:paraId="76863691" w14:textId="77777777" w:rsidR="00BC6632" w:rsidRDefault="00BC6632"/>
    <w:p w14:paraId="0CA6AD13" w14:textId="77777777" w:rsidR="00BC6632" w:rsidRDefault="00BC6632"/>
    <w:p w14:paraId="4D9EB1BB" w14:textId="77777777" w:rsidR="00BC6632" w:rsidRDefault="00BC6632"/>
    <w:p w14:paraId="3260C53E" w14:textId="77777777" w:rsidR="00BC6632" w:rsidRDefault="00BC6632"/>
    <w:p w14:paraId="14E29FA8" w14:textId="2610DF9A" w:rsidR="00BC6632" w:rsidRPr="00BC6632" w:rsidRDefault="00BC6632" w:rsidP="00BC6632">
      <w:pPr>
        <w:pStyle w:val="Heading1"/>
        <w:jc w:val="center"/>
        <w:rPr>
          <w:rFonts w:ascii="Arial" w:hAnsi="Arial" w:cs="Arial"/>
          <w:b/>
          <w:bCs/>
          <w:color w:val="auto"/>
          <w:sz w:val="28"/>
          <w:szCs w:val="28"/>
        </w:rPr>
      </w:pPr>
      <w:r w:rsidRPr="00BC6632">
        <w:rPr>
          <w:rFonts w:ascii="Arial" w:hAnsi="Arial" w:cs="Arial"/>
          <w:b/>
          <w:bCs/>
          <w:color w:val="auto"/>
          <w:sz w:val="28"/>
          <w:szCs w:val="28"/>
        </w:rPr>
        <w:t>Criteria for referrals to</w:t>
      </w:r>
    </w:p>
    <w:p w14:paraId="5513B45D" w14:textId="77777777" w:rsidR="00BC6632" w:rsidRPr="00BC6632" w:rsidRDefault="00BC6632" w:rsidP="00BC6632">
      <w:pPr>
        <w:pStyle w:val="Heading1"/>
        <w:jc w:val="center"/>
        <w:rPr>
          <w:rFonts w:ascii="Arial" w:hAnsi="Arial" w:cs="Arial"/>
          <w:b/>
          <w:bCs/>
          <w:color w:val="auto"/>
          <w:sz w:val="28"/>
          <w:szCs w:val="28"/>
        </w:rPr>
      </w:pPr>
      <w:r w:rsidRPr="00BC6632">
        <w:rPr>
          <w:rFonts w:ascii="Arial" w:hAnsi="Arial" w:cs="Arial"/>
          <w:b/>
          <w:bCs/>
          <w:color w:val="auto"/>
          <w:sz w:val="28"/>
          <w:szCs w:val="28"/>
        </w:rPr>
        <w:t>Adolescent Support Teams (AST) and</w:t>
      </w:r>
    </w:p>
    <w:p w14:paraId="6FFB46CC" w14:textId="705ED715" w:rsidR="00BC6632" w:rsidRPr="00BC6632" w:rsidRDefault="00BC6632" w:rsidP="00BC6632">
      <w:pPr>
        <w:pStyle w:val="Heading1"/>
        <w:jc w:val="center"/>
        <w:rPr>
          <w:rFonts w:ascii="Arial" w:hAnsi="Arial" w:cs="Arial"/>
          <w:b/>
          <w:bCs/>
          <w:color w:val="auto"/>
          <w:sz w:val="28"/>
          <w:szCs w:val="28"/>
        </w:rPr>
      </w:pPr>
      <w:r w:rsidRPr="00BC6632">
        <w:rPr>
          <w:rFonts w:ascii="Arial" w:hAnsi="Arial" w:cs="Arial"/>
          <w:b/>
          <w:bCs/>
          <w:color w:val="auto"/>
          <w:sz w:val="28"/>
          <w:szCs w:val="28"/>
        </w:rPr>
        <w:t>Adolescent Early Help Units (AEH)</w:t>
      </w:r>
    </w:p>
    <w:p w14:paraId="19857AEA" w14:textId="77777777" w:rsidR="00BC6632" w:rsidRPr="00BC6632" w:rsidRDefault="00BC6632" w:rsidP="00BC6632">
      <w:pPr>
        <w:pStyle w:val="NormalWeb"/>
        <w:spacing w:before="12" w:beforeAutospacing="0" w:after="12" w:afterAutospacing="0" w:line="276" w:lineRule="auto"/>
        <w:rPr>
          <w:rFonts w:ascii="Arial" w:hAnsi="Arial" w:cs="Arial"/>
          <w:b/>
          <w:lang w:val="en-US"/>
        </w:rPr>
      </w:pPr>
    </w:p>
    <w:p w14:paraId="30C92399" w14:textId="77777777" w:rsidR="00BC6632" w:rsidRPr="00BC6632" w:rsidRDefault="00BC6632" w:rsidP="00BC6632">
      <w:pPr>
        <w:spacing w:before="12" w:after="12" w:line="276" w:lineRule="auto"/>
        <w:rPr>
          <w:rFonts w:ascii="Arial" w:hAnsi="Arial" w:cs="Arial"/>
          <w:b/>
          <w:sz w:val="24"/>
          <w:szCs w:val="24"/>
          <w:lang w:val="en-US"/>
        </w:rPr>
      </w:pPr>
      <w:r w:rsidRPr="00BC6632">
        <w:rPr>
          <w:rFonts w:ascii="Arial" w:hAnsi="Arial" w:cs="Arial"/>
          <w:b/>
          <w:sz w:val="24"/>
          <w:szCs w:val="24"/>
          <w:lang w:val="en-US"/>
        </w:rPr>
        <w:t>1. Introduction</w:t>
      </w:r>
    </w:p>
    <w:p w14:paraId="2F676E17" w14:textId="77777777" w:rsidR="00BC6632" w:rsidRPr="00BC6632" w:rsidRDefault="00BC6632" w:rsidP="00BC6632">
      <w:pPr>
        <w:spacing w:before="12" w:after="12" w:line="276" w:lineRule="auto"/>
        <w:rPr>
          <w:rFonts w:ascii="Arial" w:hAnsi="Arial" w:cs="Arial"/>
          <w:bCs/>
          <w:sz w:val="24"/>
          <w:szCs w:val="24"/>
          <w:lang w:val="en-US"/>
        </w:rPr>
      </w:pPr>
      <w:r w:rsidRPr="00BC6632">
        <w:rPr>
          <w:rFonts w:ascii="Arial" w:hAnsi="Arial" w:cs="Arial"/>
          <w:bCs/>
          <w:sz w:val="24"/>
          <w:szCs w:val="24"/>
          <w:lang w:val="en-US"/>
        </w:rPr>
        <w:t xml:space="preserve">Integrated Adolescent Services currently include Youth Justice (YJ); Adolescent Social Work Support Teams (ASWT) and Adolescent Early Help (AEH).  ASWT and AEH mirror Support Levels for Children’s Social Work (CSWS) and Early Help (EH) with a specific focus on adolescents being the </w:t>
      </w:r>
      <w:r w:rsidRPr="00BC6632">
        <w:rPr>
          <w:rFonts w:ascii="Arial" w:hAnsi="Arial" w:cs="Arial"/>
          <w:bCs/>
          <w:i/>
          <w:iCs/>
          <w:sz w:val="24"/>
          <w:szCs w:val="24"/>
          <w:lang w:val="en-US"/>
        </w:rPr>
        <w:t>primary</w:t>
      </w:r>
      <w:r w:rsidRPr="00BC6632">
        <w:rPr>
          <w:rFonts w:ascii="Arial" w:hAnsi="Arial" w:cs="Arial"/>
          <w:bCs/>
          <w:sz w:val="24"/>
          <w:szCs w:val="24"/>
          <w:lang w:val="en-US"/>
        </w:rPr>
        <w:t xml:space="preserve"> beneficiary of support, and needing to make the most significant change, rather than the parents (although a whole family approach is expected). </w:t>
      </w:r>
    </w:p>
    <w:p w14:paraId="2DF7231A" w14:textId="77777777" w:rsidR="00BC6632" w:rsidRPr="00BC6632" w:rsidRDefault="00BC6632" w:rsidP="00BC6632">
      <w:pPr>
        <w:spacing w:before="12" w:after="12" w:line="276" w:lineRule="auto"/>
        <w:rPr>
          <w:rFonts w:ascii="Arial" w:hAnsi="Arial" w:cs="Arial"/>
          <w:b/>
          <w:sz w:val="24"/>
          <w:szCs w:val="24"/>
          <w:lang w:val="en-US"/>
        </w:rPr>
      </w:pPr>
    </w:p>
    <w:p w14:paraId="7D0A5F81" w14:textId="77777777" w:rsidR="00BC6632" w:rsidRPr="00BC6632" w:rsidRDefault="00BC6632" w:rsidP="00BC6632">
      <w:pPr>
        <w:spacing w:before="12" w:after="12" w:line="276" w:lineRule="auto"/>
        <w:rPr>
          <w:rFonts w:ascii="Arial" w:hAnsi="Arial" w:cs="Arial"/>
          <w:b/>
          <w:sz w:val="24"/>
          <w:szCs w:val="24"/>
          <w:lang w:val="en-US"/>
        </w:rPr>
      </w:pPr>
      <w:r w:rsidRPr="00BC6632">
        <w:rPr>
          <w:rFonts w:ascii="Arial" w:hAnsi="Arial" w:cs="Arial"/>
          <w:b/>
          <w:sz w:val="24"/>
          <w:szCs w:val="24"/>
          <w:lang w:val="en-US"/>
        </w:rPr>
        <w:t>2. Referral processes</w:t>
      </w:r>
    </w:p>
    <w:p w14:paraId="11FEC782" w14:textId="77777777" w:rsidR="00BC6632" w:rsidRPr="00BC6632" w:rsidRDefault="00BC6632" w:rsidP="00BC6632">
      <w:pPr>
        <w:spacing w:before="12" w:after="12" w:line="276" w:lineRule="auto"/>
        <w:rPr>
          <w:rFonts w:ascii="Arial" w:hAnsi="Arial" w:cs="Arial"/>
          <w:sz w:val="24"/>
          <w:szCs w:val="24"/>
          <w:lang w:val="en-US"/>
        </w:rPr>
      </w:pPr>
      <w:r w:rsidRPr="00BC6632">
        <w:rPr>
          <w:rFonts w:ascii="Arial" w:hAnsi="Arial" w:cs="Arial"/>
          <w:sz w:val="24"/>
          <w:szCs w:val="24"/>
          <w:lang w:val="en-US"/>
        </w:rPr>
        <w:t>In most districts and areas, referrals:</w:t>
      </w:r>
    </w:p>
    <w:p w14:paraId="76389293" w14:textId="77777777" w:rsidR="00BC6632" w:rsidRPr="00BC6632" w:rsidRDefault="00BC6632" w:rsidP="00BC6632">
      <w:pPr>
        <w:numPr>
          <w:ilvl w:val="0"/>
          <w:numId w:val="28"/>
        </w:numPr>
        <w:spacing w:before="12" w:after="12" w:line="276" w:lineRule="auto"/>
        <w:rPr>
          <w:rFonts w:ascii="Arial" w:hAnsi="Arial" w:cs="Arial"/>
          <w:sz w:val="24"/>
          <w:szCs w:val="24"/>
          <w:lang w:val="en-US"/>
        </w:rPr>
      </w:pPr>
      <w:r w:rsidRPr="00BC6632">
        <w:rPr>
          <w:rFonts w:ascii="Arial" w:hAnsi="Arial" w:cs="Arial"/>
          <w:sz w:val="24"/>
          <w:szCs w:val="24"/>
          <w:lang w:val="en-US"/>
        </w:rPr>
        <w:t>to AEH are via the front door, or, where agreed between managers, via a step down or step-across process from CSWS, ASWT, EH or YJ</w:t>
      </w:r>
    </w:p>
    <w:p w14:paraId="735C1520" w14:textId="77777777" w:rsidR="00BC6632" w:rsidRPr="00BC6632" w:rsidRDefault="00BC6632" w:rsidP="00BC6632">
      <w:pPr>
        <w:numPr>
          <w:ilvl w:val="0"/>
          <w:numId w:val="28"/>
        </w:numPr>
        <w:spacing w:before="12" w:after="12" w:line="276" w:lineRule="auto"/>
        <w:rPr>
          <w:rFonts w:ascii="Arial" w:hAnsi="Arial" w:cs="Arial"/>
          <w:sz w:val="24"/>
          <w:szCs w:val="24"/>
          <w:lang w:val="en-US"/>
        </w:rPr>
      </w:pPr>
      <w:r w:rsidRPr="00BC6632">
        <w:rPr>
          <w:rFonts w:ascii="Arial" w:hAnsi="Arial" w:cs="Arial"/>
          <w:sz w:val="24"/>
          <w:szCs w:val="24"/>
          <w:lang w:val="en-US"/>
        </w:rPr>
        <w:t xml:space="preserve">to ASWT are via the Front Door for Joint Housing Assessment (JHA) requests, or for C&amp;F assessments. Occasionally there will be transfers between ASWT and CSWS (in either direction) as agreed between Team Managers. </w:t>
      </w:r>
    </w:p>
    <w:p w14:paraId="2EA3530E" w14:textId="77777777" w:rsidR="00BC6632" w:rsidRPr="00BC6632" w:rsidRDefault="00BC6632" w:rsidP="00BC6632">
      <w:pPr>
        <w:numPr>
          <w:ilvl w:val="0"/>
          <w:numId w:val="28"/>
        </w:numPr>
        <w:spacing w:before="12" w:after="12" w:line="276" w:lineRule="auto"/>
        <w:rPr>
          <w:rFonts w:ascii="Arial" w:hAnsi="Arial" w:cs="Arial"/>
          <w:sz w:val="24"/>
          <w:szCs w:val="24"/>
          <w:lang w:val="en-US"/>
        </w:rPr>
      </w:pPr>
      <w:r w:rsidRPr="00BC6632">
        <w:rPr>
          <w:rFonts w:ascii="Arial" w:hAnsi="Arial" w:cs="Arial"/>
          <w:sz w:val="24"/>
          <w:szCs w:val="24"/>
          <w:lang w:val="en-US"/>
        </w:rPr>
        <w:t xml:space="preserve">For statutory Youth Justice assessment, planning and intervention are via E-YOTs and Out of Court Disposal report requests, via the Front Door (including Youth Conditional Cautions and step-ups from AEH); by transfer from other Local Authorities; via the Occasional and Youth Courts. </w:t>
      </w:r>
    </w:p>
    <w:p w14:paraId="4AB5FF40" w14:textId="77777777" w:rsidR="00BC6632" w:rsidRPr="00BC6632" w:rsidRDefault="00BC6632" w:rsidP="00BC6632">
      <w:pPr>
        <w:numPr>
          <w:ilvl w:val="0"/>
          <w:numId w:val="28"/>
        </w:numPr>
        <w:spacing w:before="12" w:after="12" w:line="276" w:lineRule="auto"/>
        <w:rPr>
          <w:rFonts w:ascii="Arial" w:hAnsi="Arial" w:cs="Arial"/>
          <w:sz w:val="24"/>
          <w:szCs w:val="24"/>
          <w:lang w:val="en-US"/>
        </w:rPr>
      </w:pPr>
      <w:r w:rsidRPr="00BC6632">
        <w:rPr>
          <w:rFonts w:ascii="Arial" w:hAnsi="Arial" w:cs="Arial"/>
          <w:sz w:val="24"/>
          <w:szCs w:val="24"/>
          <w:lang w:val="en-US"/>
        </w:rPr>
        <w:t xml:space="preserve">For voluntary Youth Justice support, as agreed with Team Managers. </w:t>
      </w:r>
    </w:p>
    <w:p w14:paraId="430E18CF" w14:textId="77777777" w:rsidR="00BC6632" w:rsidRPr="00BC6632" w:rsidRDefault="00BC6632" w:rsidP="00BC6632">
      <w:pPr>
        <w:numPr>
          <w:ilvl w:val="0"/>
          <w:numId w:val="28"/>
        </w:numPr>
        <w:spacing w:before="12" w:after="12" w:line="276" w:lineRule="auto"/>
        <w:rPr>
          <w:rFonts w:ascii="Arial" w:hAnsi="Arial" w:cs="Arial"/>
          <w:sz w:val="24"/>
          <w:szCs w:val="24"/>
          <w:lang w:val="en-US"/>
        </w:rPr>
      </w:pPr>
      <w:r w:rsidRPr="00BC6632">
        <w:rPr>
          <w:rFonts w:ascii="Arial" w:hAnsi="Arial" w:cs="Arial"/>
          <w:sz w:val="24"/>
          <w:szCs w:val="24"/>
          <w:lang w:val="en-US"/>
        </w:rPr>
        <w:t xml:space="preserve">Referrals stemming from Missing episodes will be sent from the Front Door to the allocated practitioner for those young people who are open to a service.  Section 5.2 of this protocol refers to </w:t>
      </w:r>
      <w:proofErr w:type="spellStart"/>
      <w:r w:rsidRPr="00BC6632">
        <w:rPr>
          <w:rFonts w:ascii="Arial" w:hAnsi="Arial" w:cs="Arial"/>
          <w:sz w:val="24"/>
          <w:szCs w:val="24"/>
          <w:lang w:val="en-US"/>
        </w:rPr>
        <w:t>Mispers</w:t>
      </w:r>
      <w:proofErr w:type="spellEnd"/>
      <w:r w:rsidRPr="00BC6632">
        <w:rPr>
          <w:rFonts w:ascii="Arial" w:hAnsi="Arial" w:cs="Arial"/>
          <w:sz w:val="24"/>
          <w:szCs w:val="24"/>
          <w:lang w:val="en-US"/>
        </w:rPr>
        <w:t xml:space="preserve"> who are not currently open.</w:t>
      </w:r>
    </w:p>
    <w:p w14:paraId="0EDA9FE2" w14:textId="77777777" w:rsidR="00BC6632" w:rsidRPr="00BC6632" w:rsidRDefault="00BC6632" w:rsidP="00BC6632">
      <w:pPr>
        <w:spacing w:before="12" w:after="12" w:line="276" w:lineRule="auto"/>
        <w:rPr>
          <w:rFonts w:ascii="Arial" w:hAnsi="Arial" w:cs="Arial"/>
          <w:sz w:val="24"/>
          <w:szCs w:val="24"/>
          <w:lang w:val="en-US"/>
        </w:rPr>
      </w:pPr>
    </w:p>
    <w:p w14:paraId="74345D0B" w14:textId="77777777" w:rsidR="00BC6632" w:rsidRPr="00BC6632" w:rsidRDefault="00BC6632" w:rsidP="00BC6632">
      <w:pPr>
        <w:spacing w:before="12" w:after="12" w:line="276" w:lineRule="auto"/>
        <w:rPr>
          <w:rFonts w:ascii="Arial" w:hAnsi="Arial" w:cs="Arial"/>
          <w:b/>
          <w:bCs/>
          <w:sz w:val="24"/>
          <w:szCs w:val="24"/>
          <w:lang w:val="en-US"/>
        </w:rPr>
      </w:pPr>
      <w:r w:rsidRPr="00BC6632">
        <w:rPr>
          <w:rFonts w:ascii="Arial" w:hAnsi="Arial" w:cs="Arial"/>
          <w:b/>
          <w:bCs/>
          <w:sz w:val="24"/>
          <w:szCs w:val="24"/>
          <w:lang w:val="en-US"/>
        </w:rPr>
        <w:t>2.1 Transfers</w:t>
      </w:r>
    </w:p>
    <w:p w14:paraId="17E254D4" w14:textId="77777777" w:rsidR="00BC6632" w:rsidRPr="00BC6632" w:rsidRDefault="00BC6632" w:rsidP="00BC6632">
      <w:pPr>
        <w:pStyle w:val="ListParagraph"/>
        <w:numPr>
          <w:ilvl w:val="0"/>
          <w:numId w:val="35"/>
        </w:numPr>
        <w:spacing w:before="12" w:after="12" w:line="276" w:lineRule="auto"/>
        <w:rPr>
          <w:rFonts w:ascii="Arial" w:hAnsi="Arial" w:cs="Arial"/>
          <w:sz w:val="24"/>
          <w:szCs w:val="24"/>
        </w:rPr>
      </w:pPr>
      <w:r w:rsidRPr="00BC6632">
        <w:rPr>
          <w:rFonts w:ascii="Arial" w:hAnsi="Arial" w:cs="Arial"/>
          <w:sz w:val="24"/>
          <w:szCs w:val="24"/>
        </w:rPr>
        <w:t xml:space="preserve">No transfer should be made directly into Liberi/EHM </w:t>
      </w:r>
      <w:proofErr w:type="spellStart"/>
      <w:r w:rsidRPr="00BC6632">
        <w:rPr>
          <w:rFonts w:ascii="Arial" w:hAnsi="Arial" w:cs="Arial"/>
          <w:sz w:val="24"/>
          <w:szCs w:val="24"/>
        </w:rPr>
        <w:t>worktrays</w:t>
      </w:r>
      <w:proofErr w:type="spellEnd"/>
      <w:r w:rsidRPr="00BC6632">
        <w:rPr>
          <w:rFonts w:ascii="Arial" w:hAnsi="Arial" w:cs="Arial"/>
          <w:sz w:val="24"/>
          <w:szCs w:val="24"/>
        </w:rPr>
        <w:t xml:space="preserve">, without agreement between Team Managers/Unit Leads.  Any disagreement about transfer should be escalated for peer-to-peer resolution, initially between Service Managers, and if necessary, with Assistant Directors for agreement. </w:t>
      </w:r>
    </w:p>
    <w:p w14:paraId="60DCF6CC" w14:textId="77777777" w:rsidR="00BC6632" w:rsidRPr="00BC6632" w:rsidRDefault="00BC6632" w:rsidP="00BC6632">
      <w:pPr>
        <w:pStyle w:val="ListParagraph"/>
        <w:numPr>
          <w:ilvl w:val="0"/>
          <w:numId w:val="35"/>
        </w:numPr>
        <w:spacing w:before="12" w:after="12" w:line="276" w:lineRule="auto"/>
        <w:rPr>
          <w:rFonts w:ascii="Arial" w:hAnsi="Arial" w:cs="Arial"/>
          <w:sz w:val="24"/>
          <w:szCs w:val="24"/>
        </w:rPr>
      </w:pPr>
      <w:r w:rsidRPr="00BC6632">
        <w:rPr>
          <w:rFonts w:ascii="Arial" w:hAnsi="Arial" w:cs="Arial"/>
          <w:sz w:val="24"/>
          <w:szCs w:val="24"/>
        </w:rPr>
        <w:t xml:space="preserve">Capacity is not an acceptable reason for refusing a transfer which meets agreed eligibility criteria. </w:t>
      </w:r>
    </w:p>
    <w:p w14:paraId="17F4C947" w14:textId="77777777" w:rsidR="00BC6632" w:rsidRPr="00BC6632" w:rsidRDefault="00BC6632" w:rsidP="00BC6632">
      <w:pPr>
        <w:pStyle w:val="ListParagraph"/>
        <w:numPr>
          <w:ilvl w:val="0"/>
          <w:numId w:val="35"/>
        </w:numPr>
        <w:spacing w:before="12" w:after="12" w:line="276" w:lineRule="auto"/>
        <w:rPr>
          <w:rFonts w:ascii="Arial" w:hAnsi="Arial" w:cs="Arial"/>
          <w:sz w:val="24"/>
          <w:szCs w:val="24"/>
        </w:rPr>
      </w:pPr>
      <w:r w:rsidRPr="00BC6632">
        <w:rPr>
          <w:rFonts w:ascii="Arial" w:hAnsi="Arial" w:cs="Arial"/>
          <w:sz w:val="24"/>
          <w:szCs w:val="24"/>
        </w:rPr>
        <w:lastRenderedPageBreak/>
        <w:t>Transfer, once agreed, should be timely. Any delay must be defensible and recorded on the relevant system as a management entry (such as requiring assessment, review, joint visit, or other relevant process to be completed).</w:t>
      </w:r>
    </w:p>
    <w:p w14:paraId="24DA621D" w14:textId="77777777" w:rsidR="00BC6632" w:rsidRPr="00BC6632" w:rsidRDefault="00BC6632" w:rsidP="00BC6632">
      <w:pPr>
        <w:spacing w:before="12" w:after="12" w:line="276" w:lineRule="auto"/>
        <w:rPr>
          <w:rFonts w:ascii="Arial" w:hAnsi="Arial" w:cs="Arial"/>
          <w:sz w:val="24"/>
          <w:szCs w:val="24"/>
          <w:lang w:val="en-US"/>
        </w:rPr>
      </w:pPr>
    </w:p>
    <w:p w14:paraId="68F2CAA6" w14:textId="77777777" w:rsidR="00BC6632" w:rsidRPr="00BC6632" w:rsidRDefault="00BC6632" w:rsidP="00BC6632">
      <w:pPr>
        <w:spacing w:before="12" w:after="12" w:line="276" w:lineRule="auto"/>
        <w:rPr>
          <w:rFonts w:ascii="Arial" w:hAnsi="Arial" w:cs="Arial"/>
          <w:sz w:val="24"/>
          <w:szCs w:val="24"/>
          <w:lang w:val="en-US"/>
        </w:rPr>
      </w:pPr>
      <w:r w:rsidRPr="00BC6632">
        <w:rPr>
          <w:rFonts w:ascii="Arial" w:hAnsi="Arial" w:cs="Arial"/>
          <w:b/>
          <w:bCs/>
          <w:sz w:val="24"/>
          <w:szCs w:val="24"/>
          <w:lang w:val="en-US"/>
        </w:rPr>
        <w:t xml:space="preserve">2.2 Contextual Safeguarding </w:t>
      </w:r>
      <w:r w:rsidRPr="00BC6632">
        <w:rPr>
          <w:rFonts w:ascii="Arial" w:hAnsi="Arial" w:cs="Arial"/>
          <w:sz w:val="24"/>
          <w:szCs w:val="24"/>
          <w:lang w:val="en-US"/>
        </w:rPr>
        <w:br/>
        <w:t xml:space="preserve">Adolescent services have led on the creation of a multi-agency contextual safeguarding framework. Regardless of which team has case holding responsibility, the framework is available to all services to support the identification, </w:t>
      </w:r>
      <w:proofErr w:type="gramStart"/>
      <w:r w:rsidRPr="00BC6632">
        <w:rPr>
          <w:rFonts w:ascii="Arial" w:hAnsi="Arial" w:cs="Arial"/>
          <w:sz w:val="24"/>
          <w:szCs w:val="24"/>
          <w:lang w:val="en-US"/>
        </w:rPr>
        <w:t>assessment</w:t>
      </w:r>
      <w:proofErr w:type="gramEnd"/>
      <w:r w:rsidRPr="00BC6632">
        <w:rPr>
          <w:rFonts w:ascii="Arial" w:hAnsi="Arial" w:cs="Arial"/>
          <w:sz w:val="24"/>
          <w:szCs w:val="24"/>
          <w:lang w:val="en-US"/>
        </w:rPr>
        <w:t xml:space="preserve"> and response to contextual risks, and to manage the serious risk of harm that some children pose to others.</w:t>
      </w:r>
    </w:p>
    <w:p w14:paraId="45553385" w14:textId="77777777" w:rsidR="00BC6632" w:rsidRPr="00BC6632" w:rsidRDefault="00BC6632" w:rsidP="00BC6632">
      <w:pPr>
        <w:spacing w:before="12" w:after="12" w:line="276" w:lineRule="auto"/>
        <w:rPr>
          <w:rFonts w:ascii="Arial" w:hAnsi="Arial" w:cs="Arial"/>
          <w:sz w:val="24"/>
          <w:szCs w:val="24"/>
          <w:lang w:val="en-US"/>
        </w:rPr>
      </w:pPr>
    </w:p>
    <w:p w14:paraId="70A660C3" w14:textId="77777777" w:rsidR="00BC6632" w:rsidRPr="00BC6632" w:rsidRDefault="00BC6632" w:rsidP="00BC6632">
      <w:pPr>
        <w:spacing w:before="12" w:after="12" w:line="276" w:lineRule="auto"/>
        <w:rPr>
          <w:rFonts w:ascii="Arial" w:hAnsi="Arial" w:cs="Arial"/>
          <w:sz w:val="24"/>
          <w:szCs w:val="24"/>
          <w:lang w:val="en-US"/>
        </w:rPr>
      </w:pPr>
      <w:r w:rsidRPr="00BC6632">
        <w:rPr>
          <w:rFonts w:ascii="Arial" w:hAnsi="Arial" w:cs="Arial"/>
          <w:b/>
          <w:bCs/>
          <w:sz w:val="24"/>
          <w:szCs w:val="24"/>
          <w:lang w:val="en-US"/>
        </w:rPr>
        <w:t xml:space="preserve">3. Eligibility Criteria for Adolescent Services </w:t>
      </w:r>
      <w:r w:rsidRPr="00BC6632">
        <w:rPr>
          <w:rFonts w:ascii="Arial" w:hAnsi="Arial" w:cs="Arial"/>
          <w:b/>
          <w:bCs/>
          <w:sz w:val="24"/>
          <w:szCs w:val="24"/>
          <w:lang w:val="en-US"/>
        </w:rPr>
        <w:br/>
      </w:r>
      <w:r w:rsidRPr="00BC6632">
        <w:rPr>
          <w:rFonts w:ascii="Arial" w:hAnsi="Arial" w:cs="Arial"/>
          <w:bCs/>
          <w:sz w:val="24"/>
          <w:szCs w:val="24"/>
          <w:lang w:val="en-US"/>
        </w:rPr>
        <w:t xml:space="preserve">The premise for referral </w:t>
      </w:r>
      <w:proofErr w:type="gramStart"/>
      <w:r w:rsidRPr="00BC6632">
        <w:rPr>
          <w:rFonts w:ascii="Arial" w:hAnsi="Arial" w:cs="Arial"/>
          <w:bCs/>
          <w:sz w:val="24"/>
          <w:szCs w:val="24"/>
          <w:lang w:val="en-US"/>
        </w:rPr>
        <w:t>in to</w:t>
      </w:r>
      <w:proofErr w:type="gramEnd"/>
      <w:r w:rsidRPr="00BC6632">
        <w:rPr>
          <w:rFonts w:ascii="Arial" w:hAnsi="Arial" w:cs="Arial"/>
          <w:bCs/>
          <w:sz w:val="24"/>
          <w:szCs w:val="24"/>
          <w:lang w:val="en-US"/>
        </w:rPr>
        <w:t xml:space="preserve"> AEH or ASWT is that an adolescent practitioner is needed because the referred child presents with </w:t>
      </w:r>
      <w:r w:rsidRPr="00BC6632">
        <w:rPr>
          <w:rFonts w:ascii="Arial" w:hAnsi="Arial" w:cs="Arial"/>
          <w:sz w:val="24"/>
          <w:szCs w:val="24"/>
          <w:lang w:val="en-US"/>
        </w:rPr>
        <w:t xml:space="preserve">high-risk </w:t>
      </w:r>
      <w:r w:rsidRPr="00BC6632">
        <w:rPr>
          <w:rFonts w:ascii="Arial" w:hAnsi="Arial" w:cs="Arial"/>
          <w:bCs/>
          <w:sz w:val="24"/>
          <w:szCs w:val="24"/>
          <w:lang w:val="en-US"/>
        </w:rPr>
        <w:t xml:space="preserve">contextual factors and/or </w:t>
      </w:r>
      <w:r w:rsidRPr="00BC6632">
        <w:rPr>
          <w:rFonts w:ascii="Arial" w:hAnsi="Arial" w:cs="Arial"/>
          <w:sz w:val="24"/>
          <w:szCs w:val="24"/>
          <w:lang w:val="en-US"/>
        </w:rPr>
        <w:t xml:space="preserve">adolescent </w:t>
      </w:r>
      <w:proofErr w:type="spellStart"/>
      <w:r w:rsidRPr="00BC6632">
        <w:rPr>
          <w:rFonts w:ascii="Arial" w:hAnsi="Arial" w:cs="Arial"/>
          <w:sz w:val="24"/>
          <w:szCs w:val="24"/>
          <w:lang w:val="en-US"/>
        </w:rPr>
        <w:t>behaviours</w:t>
      </w:r>
      <w:proofErr w:type="spellEnd"/>
      <w:r w:rsidRPr="00BC6632">
        <w:rPr>
          <w:rFonts w:ascii="Arial" w:hAnsi="Arial" w:cs="Arial"/>
          <w:sz w:val="24"/>
          <w:szCs w:val="24"/>
          <w:lang w:val="en-US"/>
        </w:rPr>
        <w:t xml:space="preserve"> which are</w:t>
      </w:r>
      <w:r w:rsidRPr="00BC6632">
        <w:rPr>
          <w:rFonts w:ascii="Arial" w:hAnsi="Arial" w:cs="Arial"/>
          <w:bCs/>
          <w:sz w:val="24"/>
          <w:szCs w:val="24"/>
        </w:rPr>
        <w:t xml:space="preserve"> not the result of a neurodevelopmental issue or disability (such as ASC) needing specialist intervention, and pose a significant risk of family breakdown</w:t>
      </w:r>
      <w:r w:rsidRPr="00BC6632">
        <w:rPr>
          <w:rFonts w:ascii="Arial" w:hAnsi="Arial" w:cs="Arial"/>
          <w:sz w:val="24"/>
          <w:szCs w:val="24"/>
          <w:lang w:val="en-US"/>
        </w:rPr>
        <w:t>:</w:t>
      </w:r>
    </w:p>
    <w:p w14:paraId="39DB04D0" w14:textId="77777777" w:rsidR="00BC6632" w:rsidRPr="00BC6632" w:rsidRDefault="00BC6632" w:rsidP="00BC6632">
      <w:pPr>
        <w:pStyle w:val="ListParagraph"/>
        <w:numPr>
          <w:ilvl w:val="0"/>
          <w:numId w:val="32"/>
        </w:numPr>
        <w:spacing w:before="12" w:after="12" w:line="276" w:lineRule="auto"/>
        <w:rPr>
          <w:rFonts w:ascii="Arial" w:eastAsia="Times New Roman" w:hAnsi="Arial" w:cs="Arial"/>
          <w:bCs/>
          <w:sz w:val="24"/>
          <w:szCs w:val="24"/>
          <w:lang w:eastAsia="en-GB"/>
        </w:rPr>
      </w:pPr>
      <w:r w:rsidRPr="00BC6632">
        <w:rPr>
          <w:rFonts w:ascii="Arial" w:eastAsia="Times New Roman" w:hAnsi="Arial" w:cs="Arial"/>
          <w:bCs/>
          <w:sz w:val="24"/>
          <w:szCs w:val="24"/>
          <w:lang w:eastAsia="en-GB"/>
        </w:rPr>
        <w:t xml:space="preserve">adolescent to parent violence where there is a pattern of aggression towards parent/s which is not associated with historic or current parental abuse or </w:t>
      </w:r>
      <w:proofErr w:type="gramStart"/>
      <w:r w:rsidRPr="00BC6632">
        <w:rPr>
          <w:rFonts w:ascii="Arial" w:eastAsia="Times New Roman" w:hAnsi="Arial" w:cs="Arial"/>
          <w:bCs/>
          <w:sz w:val="24"/>
          <w:szCs w:val="24"/>
          <w:lang w:eastAsia="en-GB"/>
        </w:rPr>
        <w:t>neglect;</w:t>
      </w:r>
      <w:proofErr w:type="gramEnd"/>
      <w:r w:rsidRPr="00BC6632">
        <w:rPr>
          <w:rFonts w:ascii="Arial" w:eastAsia="Times New Roman" w:hAnsi="Arial" w:cs="Arial"/>
          <w:bCs/>
          <w:sz w:val="24"/>
          <w:szCs w:val="24"/>
          <w:lang w:eastAsia="en-GB"/>
        </w:rPr>
        <w:t xml:space="preserve"> </w:t>
      </w:r>
    </w:p>
    <w:p w14:paraId="22546FAA" w14:textId="77777777" w:rsidR="00BC6632" w:rsidRPr="00BC6632" w:rsidRDefault="00BC6632" w:rsidP="00BC6632">
      <w:pPr>
        <w:pStyle w:val="ListParagraph"/>
        <w:numPr>
          <w:ilvl w:val="0"/>
          <w:numId w:val="32"/>
        </w:numPr>
        <w:spacing w:before="12" w:after="12" w:line="276" w:lineRule="auto"/>
        <w:rPr>
          <w:rFonts w:ascii="Arial" w:eastAsia="Times New Roman" w:hAnsi="Arial" w:cs="Arial"/>
          <w:bCs/>
          <w:sz w:val="24"/>
          <w:szCs w:val="24"/>
          <w:lang w:eastAsia="en-GB"/>
        </w:rPr>
      </w:pPr>
      <w:r w:rsidRPr="00BC6632">
        <w:rPr>
          <w:rFonts w:ascii="Arial" w:eastAsia="Times New Roman" w:hAnsi="Arial" w:cs="Arial"/>
          <w:bCs/>
          <w:sz w:val="24"/>
          <w:szCs w:val="24"/>
          <w:lang w:eastAsia="en-GB"/>
        </w:rPr>
        <w:t>parents are trying to impose boundaries, and want their child to be within the home, but are unable to keep the adolescent safe from significant risk of harm outside of the home (for example a child has been trafficked or exploited</w:t>
      </w:r>
      <w:proofErr w:type="gramStart"/>
      <w:r w:rsidRPr="00BC6632">
        <w:rPr>
          <w:rFonts w:ascii="Arial" w:eastAsia="Times New Roman" w:hAnsi="Arial" w:cs="Arial"/>
          <w:bCs/>
          <w:sz w:val="24"/>
          <w:szCs w:val="24"/>
          <w:lang w:eastAsia="en-GB"/>
        </w:rPr>
        <w:t>);</w:t>
      </w:r>
      <w:proofErr w:type="gramEnd"/>
    </w:p>
    <w:p w14:paraId="1C4C86E8" w14:textId="77777777" w:rsidR="00BC6632" w:rsidRPr="00BC6632" w:rsidRDefault="00BC6632" w:rsidP="00BC6632">
      <w:pPr>
        <w:pStyle w:val="ListParagraph"/>
        <w:spacing w:before="12" w:after="12" w:line="276" w:lineRule="auto"/>
        <w:rPr>
          <w:rFonts w:ascii="Arial" w:eastAsia="Times New Roman" w:hAnsi="Arial" w:cs="Arial"/>
          <w:bCs/>
          <w:sz w:val="24"/>
          <w:szCs w:val="24"/>
          <w:lang w:eastAsia="en-GB"/>
        </w:rPr>
      </w:pPr>
      <w:r w:rsidRPr="00BC6632">
        <w:rPr>
          <w:rFonts w:ascii="Arial" w:eastAsia="Times New Roman" w:hAnsi="Arial" w:cs="Arial"/>
          <w:bCs/>
          <w:sz w:val="24"/>
          <w:szCs w:val="24"/>
          <w:lang w:eastAsia="en-GB"/>
        </w:rPr>
        <w:t xml:space="preserve">AND </w:t>
      </w:r>
    </w:p>
    <w:p w14:paraId="3EE023F6" w14:textId="77777777" w:rsidR="00BC6632" w:rsidRPr="00BC6632" w:rsidRDefault="00BC6632" w:rsidP="00BC6632">
      <w:pPr>
        <w:pStyle w:val="ListParagraph"/>
        <w:numPr>
          <w:ilvl w:val="0"/>
          <w:numId w:val="33"/>
        </w:numPr>
        <w:spacing w:before="12" w:after="12" w:line="276" w:lineRule="auto"/>
        <w:rPr>
          <w:rFonts w:ascii="Arial" w:eastAsia="Times New Roman" w:hAnsi="Arial" w:cs="Arial"/>
          <w:bCs/>
          <w:sz w:val="24"/>
          <w:szCs w:val="24"/>
          <w:lang w:eastAsia="en-GB"/>
        </w:rPr>
      </w:pPr>
      <w:r w:rsidRPr="00BC6632">
        <w:rPr>
          <w:rFonts w:ascii="Arial" w:eastAsia="Times New Roman" w:hAnsi="Arial" w:cs="Arial"/>
          <w:bCs/>
          <w:sz w:val="24"/>
          <w:szCs w:val="24"/>
          <w:lang w:eastAsia="en-GB"/>
        </w:rPr>
        <w:t xml:space="preserve">a flexible, strength-based approach which focusses on building a trusting relationship with the adolescent, is required to effect the required changes to keep them safe. </w:t>
      </w:r>
    </w:p>
    <w:p w14:paraId="37D05841" w14:textId="77777777" w:rsidR="00BC6632" w:rsidRPr="00BC6632" w:rsidRDefault="00BC6632" w:rsidP="00BC6632">
      <w:pPr>
        <w:spacing w:before="12" w:after="12" w:line="276" w:lineRule="auto"/>
        <w:rPr>
          <w:rFonts w:ascii="Arial" w:hAnsi="Arial" w:cs="Arial"/>
          <w:bCs/>
          <w:sz w:val="24"/>
          <w:szCs w:val="24"/>
        </w:rPr>
      </w:pPr>
    </w:p>
    <w:p w14:paraId="4ED67ED1" w14:textId="77777777" w:rsidR="00BC6632" w:rsidRPr="00BC6632" w:rsidRDefault="00BC6632" w:rsidP="00BC6632">
      <w:pPr>
        <w:spacing w:before="12" w:after="12" w:line="276" w:lineRule="auto"/>
        <w:ind w:left="360"/>
        <w:rPr>
          <w:rFonts w:ascii="Arial" w:hAnsi="Arial" w:cs="Arial"/>
          <w:bCs/>
          <w:sz w:val="24"/>
          <w:szCs w:val="24"/>
          <w:lang w:val="en-US"/>
        </w:rPr>
      </w:pPr>
      <w:r w:rsidRPr="00BC6632">
        <w:rPr>
          <w:rFonts w:ascii="Arial" w:hAnsi="Arial" w:cs="Arial"/>
          <w:bCs/>
          <w:sz w:val="24"/>
          <w:szCs w:val="24"/>
          <w:lang w:val="en-US"/>
        </w:rPr>
        <w:t xml:space="preserve">The age range for Adolescent services is expected to be 13+ years. </w:t>
      </w:r>
    </w:p>
    <w:p w14:paraId="15CC0387" w14:textId="77777777" w:rsidR="00BC6632" w:rsidRPr="00BC6632" w:rsidRDefault="00BC6632" w:rsidP="00BC6632">
      <w:pPr>
        <w:spacing w:before="12" w:after="12" w:line="276" w:lineRule="auto"/>
        <w:ind w:left="360"/>
        <w:rPr>
          <w:rFonts w:ascii="Arial" w:hAnsi="Arial" w:cs="Arial"/>
          <w:bCs/>
          <w:sz w:val="24"/>
          <w:szCs w:val="24"/>
          <w:lang w:val="en-US"/>
        </w:rPr>
      </w:pPr>
    </w:p>
    <w:p w14:paraId="4EAFFF39" w14:textId="77777777" w:rsidR="00BC6632" w:rsidRPr="00BC6632" w:rsidRDefault="00BC6632" w:rsidP="00BC6632">
      <w:pPr>
        <w:spacing w:before="12" w:after="12" w:line="276" w:lineRule="auto"/>
        <w:ind w:left="360"/>
        <w:rPr>
          <w:rFonts w:ascii="Arial" w:hAnsi="Arial" w:cs="Arial"/>
          <w:sz w:val="24"/>
          <w:szCs w:val="24"/>
          <w:lang w:val="en-US"/>
        </w:rPr>
      </w:pPr>
      <w:r w:rsidRPr="00BC6632">
        <w:rPr>
          <w:rFonts w:ascii="Arial" w:hAnsi="Arial" w:cs="Arial"/>
          <w:bCs/>
          <w:sz w:val="24"/>
          <w:szCs w:val="24"/>
        </w:rPr>
        <w:t>Contextual and familial risks are often present at the same time and t</w:t>
      </w:r>
      <w:r w:rsidRPr="00BC6632">
        <w:rPr>
          <w:rFonts w:ascii="Arial" w:hAnsi="Arial" w:cs="Arial"/>
          <w:sz w:val="24"/>
          <w:szCs w:val="24"/>
          <w:lang w:val="en-US"/>
        </w:rPr>
        <w:t xml:space="preserve">he issues which make families appropriate for a referral to adolescent services are when the </w:t>
      </w:r>
      <w:r w:rsidRPr="00BC6632">
        <w:rPr>
          <w:rFonts w:ascii="Arial" w:hAnsi="Arial" w:cs="Arial"/>
          <w:sz w:val="24"/>
          <w:szCs w:val="24"/>
          <w:u w:val="single"/>
          <w:lang w:val="en-US"/>
        </w:rPr>
        <w:t>focus</w:t>
      </w:r>
      <w:r w:rsidRPr="00BC6632">
        <w:rPr>
          <w:rFonts w:ascii="Arial" w:hAnsi="Arial" w:cs="Arial"/>
          <w:sz w:val="24"/>
          <w:szCs w:val="24"/>
          <w:lang w:val="en-US"/>
        </w:rPr>
        <w:t xml:space="preserve"> of intervention, or the predominant need for change, are the adolescents’ thinking and </w:t>
      </w:r>
      <w:proofErr w:type="spellStart"/>
      <w:r w:rsidRPr="00BC6632">
        <w:rPr>
          <w:rFonts w:ascii="Arial" w:hAnsi="Arial" w:cs="Arial"/>
          <w:sz w:val="24"/>
          <w:szCs w:val="24"/>
          <w:lang w:val="en-US"/>
        </w:rPr>
        <w:t>behaviour</w:t>
      </w:r>
      <w:proofErr w:type="spellEnd"/>
      <w:r w:rsidRPr="00BC6632">
        <w:rPr>
          <w:rFonts w:ascii="Arial" w:hAnsi="Arial" w:cs="Arial"/>
          <w:sz w:val="24"/>
          <w:szCs w:val="24"/>
          <w:lang w:val="en-US"/>
        </w:rPr>
        <w:t xml:space="preserve">, rather than parenting needs/capacity. </w:t>
      </w:r>
    </w:p>
    <w:p w14:paraId="50DF1BDA" w14:textId="77777777" w:rsidR="00BC6632" w:rsidRPr="00BC6632" w:rsidRDefault="00BC6632" w:rsidP="00BC6632">
      <w:pPr>
        <w:spacing w:before="12" w:after="12" w:line="276" w:lineRule="auto"/>
        <w:ind w:left="360"/>
        <w:rPr>
          <w:rFonts w:ascii="Arial" w:hAnsi="Arial" w:cs="Arial"/>
          <w:sz w:val="24"/>
          <w:szCs w:val="24"/>
          <w:lang w:val="en-US"/>
        </w:rPr>
      </w:pPr>
    </w:p>
    <w:p w14:paraId="1A3C547D" w14:textId="77777777" w:rsidR="00BC6632" w:rsidRPr="00BC6632" w:rsidRDefault="00BC6632" w:rsidP="00BC6632">
      <w:pPr>
        <w:spacing w:before="12" w:after="12" w:line="276" w:lineRule="auto"/>
        <w:ind w:left="360"/>
        <w:rPr>
          <w:rFonts w:ascii="Arial" w:hAnsi="Arial" w:cs="Arial"/>
          <w:bCs/>
          <w:sz w:val="24"/>
          <w:szCs w:val="24"/>
        </w:rPr>
      </w:pPr>
      <w:r w:rsidRPr="00BC6632">
        <w:rPr>
          <w:rFonts w:ascii="Arial" w:hAnsi="Arial" w:cs="Arial"/>
          <w:bCs/>
          <w:sz w:val="24"/>
          <w:szCs w:val="24"/>
        </w:rPr>
        <w:t xml:space="preserve">Where there are issues of parenting capacity and those parents are unwilling to make changes to safeguard their child, even when those risks are extra familial, and the child is unlikely to remain or return home, the family should be supported by Children’s Services. Adolescent services may support the direct work with the </w:t>
      </w:r>
      <w:proofErr w:type="gramStart"/>
      <w:r w:rsidRPr="00BC6632">
        <w:rPr>
          <w:rFonts w:ascii="Arial" w:hAnsi="Arial" w:cs="Arial"/>
          <w:bCs/>
          <w:sz w:val="24"/>
          <w:szCs w:val="24"/>
        </w:rPr>
        <w:t>adolescent, if</w:t>
      </w:r>
      <w:proofErr w:type="gramEnd"/>
      <w:r w:rsidRPr="00BC6632">
        <w:rPr>
          <w:rFonts w:ascii="Arial" w:hAnsi="Arial" w:cs="Arial"/>
          <w:bCs/>
          <w:sz w:val="24"/>
          <w:szCs w:val="24"/>
        </w:rPr>
        <w:t xml:space="preserve"> there is capacity to do so.  Services should access the multi-agency contextual framework to support the identification and multi-agency responses to contextual concerns.</w:t>
      </w:r>
    </w:p>
    <w:p w14:paraId="1781EE2B" w14:textId="77777777" w:rsidR="00BC6632" w:rsidRPr="00BC6632" w:rsidRDefault="00BC6632" w:rsidP="00BC6632">
      <w:pPr>
        <w:spacing w:before="12" w:after="12" w:line="276" w:lineRule="auto"/>
        <w:ind w:left="360"/>
        <w:rPr>
          <w:rFonts w:ascii="Arial" w:hAnsi="Arial" w:cs="Arial"/>
          <w:sz w:val="24"/>
          <w:szCs w:val="24"/>
          <w:lang w:val="en-US"/>
        </w:rPr>
      </w:pPr>
    </w:p>
    <w:p w14:paraId="6E9AA848" w14:textId="77777777" w:rsidR="00BC6632" w:rsidRPr="00BC6632" w:rsidRDefault="00BC6632" w:rsidP="00BC6632">
      <w:pPr>
        <w:spacing w:before="12" w:after="12" w:line="276" w:lineRule="auto"/>
        <w:ind w:left="360"/>
        <w:rPr>
          <w:rFonts w:ascii="Arial" w:hAnsi="Arial" w:cs="Arial"/>
          <w:bCs/>
          <w:sz w:val="24"/>
          <w:szCs w:val="24"/>
          <w:lang w:val="en-US"/>
        </w:rPr>
      </w:pPr>
      <w:r w:rsidRPr="00BC6632">
        <w:rPr>
          <w:rFonts w:ascii="Arial" w:hAnsi="Arial" w:cs="Arial"/>
          <w:bCs/>
          <w:sz w:val="24"/>
          <w:szCs w:val="24"/>
          <w:lang w:val="en-US"/>
        </w:rPr>
        <w:t xml:space="preserve">The difference between ASWT and AEH is that ASWT operates at CIN level and above, and AEH </w:t>
      </w:r>
      <w:proofErr w:type="gramStart"/>
      <w:r w:rsidRPr="00BC6632">
        <w:rPr>
          <w:rFonts w:ascii="Arial" w:hAnsi="Arial" w:cs="Arial"/>
          <w:bCs/>
          <w:sz w:val="24"/>
          <w:szCs w:val="24"/>
          <w:lang w:val="en-US"/>
        </w:rPr>
        <w:t>are</w:t>
      </w:r>
      <w:proofErr w:type="gramEnd"/>
      <w:r w:rsidRPr="00BC6632">
        <w:rPr>
          <w:rFonts w:ascii="Arial" w:hAnsi="Arial" w:cs="Arial"/>
          <w:bCs/>
          <w:sz w:val="24"/>
          <w:szCs w:val="24"/>
          <w:lang w:val="en-US"/>
        </w:rPr>
        <w:t xml:space="preserve"> a preventative service that operates below the threshold for social work. ASWT will therefore work with more critical cases where </w:t>
      </w:r>
      <w:proofErr w:type="gramStart"/>
      <w:r w:rsidRPr="00BC6632">
        <w:rPr>
          <w:rFonts w:ascii="Arial" w:hAnsi="Arial" w:cs="Arial"/>
          <w:bCs/>
          <w:sz w:val="24"/>
          <w:szCs w:val="24"/>
          <w:lang w:val="en-US"/>
        </w:rPr>
        <w:t>risk</w:t>
      </w:r>
      <w:proofErr w:type="gramEnd"/>
      <w:r w:rsidRPr="00BC6632">
        <w:rPr>
          <w:rFonts w:ascii="Arial" w:hAnsi="Arial" w:cs="Arial"/>
          <w:bCs/>
          <w:sz w:val="24"/>
          <w:szCs w:val="24"/>
          <w:lang w:val="en-US"/>
        </w:rPr>
        <w:t xml:space="preserve"> is complex and high, requiring flexible and intensive intervention. AEH will work with cases where risk is emerging and increasing, and where a preventative and flexible approach is required to avoid escalation.</w:t>
      </w:r>
      <w:r w:rsidRPr="00BC6632">
        <w:rPr>
          <w:rFonts w:ascii="Arial" w:hAnsi="Arial" w:cs="Arial"/>
          <w:bCs/>
          <w:sz w:val="24"/>
          <w:szCs w:val="24"/>
          <w:lang w:val="en-US"/>
        </w:rPr>
        <w:br/>
      </w:r>
      <w:r w:rsidRPr="00BC6632">
        <w:rPr>
          <w:rFonts w:ascii="Arial" w:hAnsi="Arial" w:cs="Arial"/>
          <w:b/>
          <w:sz w:val="24"/>
          <w:szCs w:val="24"/>
          <w:lang w:val="en-US"/>
        </w:rPr>
        <w:br/>
        <w:t>4. Adolescent Social Work Teams (ASWT)</w:t>
      </w:r>
    </w:p>
    <w:p w14:paraId="3E36C8FE" w14:textId="77777777" w:rsidR="00BC6632" w:rsidRPr="00BC6632" w:rsidRDefault="00BC6632" w:rsidP="00BC6632">
      <w:pPr>
        <w:spacing w:before="12" w:after="12" w:line="276" w:lineRule="auto"/>
        <w:ind w:left="360"/>
        <w:rPr>
          <w:rFonts w:ascii="Arial" w:hAnsi="Arial" w:cs="Arial"/>
          <w:b/>
          <w:sz w:val="24"/>
          <w:szCs w:val="24"/>
          <w:lang w:val="en-US"/>
        </w:rPr>
      </w:pPr>
    </w:p>
    <w:p w14:paraId="56C99569" w14:textId="77777777" w:rsidR="00BC6632" w:rsidRPr="00BC6632" w:rsidRDefault="00BC6632" w:rsidP="00BC6632">
      <w:pPr>
        <w:spacing w:before="12" w:after="12" w:line="276" w:lineRule="auto"/>
        <w:ind w:left="360"/>
        <w:rPr>
          <w:rFonts w:ascii="Arial" w:hAnsi="Arial" w:cs="Arial"/>
          <w:color w:val="000000"/>
          <w:sz w:val="24"/>
          <w:szCs w:val="24"/>
          <w:lang w:val="en-US"/>
        </w:rPr>
      </w:pPr>
      <w:r w:rsidRPr="00BC6632">
        <w:rPr>
          <w:rFonts w:ascii="Arial" w:hAnsi="Arial" w:cs="Arial"/>
          <w:b/>
          <w:sz w:val="24"/>
          <w:szCs w:val="24"/>
          <w:lang w:val="en-US"/>
        </w:rPr>
        <w:t xml:space="preserve">4.1 REMIT </w:t>
      </w:r>
      <w:r w:rsidRPr="00BC6632">
        <w:rPr>
          <w:rFonts w:ascii="Arial" w:hAnsi="Arial" w:cs="Arial"/>
          <w:bCs/>
          <w:sz w:val="24"/>
          <w:szCs w:val="24"/>
          <w:lang w:val="en-US"/>
        </w:rPr>
        <w:br/>
        <w:t xml:space="preserve">ASWTs operate at support levels 3 and 4: CIN and upwards, </w:t>
      </w:r>
      <w:r w:rsidRPr="00BC6632">
        <w:rPr>
          <w:rFonts w:ascii="Arial" w:hAnsi="Arial" w:cs="Arial"/>
          <w:sz w:val="24"/>
          <w:szCs w:val="24"/>
          <w:lang w:val="en-US"/>
        </w:rPr>
        <w:t xml:space="preserve">offering intensive support at critical times of high risk to prevent children from coming into care, or to reunite them with their family. This might typically require multiple contacts each week with the adolescent and their family, where most contacts are expected to be, although not exclusively, with the adolescent.     </w:t>
      </w:r>
      <w:r w:rsidRPr="00BC6632">
        <w:rPr>
          <w:rFonts w:ascii="Arial" w:hAnsi="Arial" w:cs="Arial"/>
          <w:sz w:val="24"/>
          <w:szCs w:val="24"/>
          <w:lang w:val="en-US"/>
        </w:rPr>
        <w:br/>
      </w:r>
      <w:r w:rsidRPr="00BC6632">
        <w:rPr>
          <w:rFonts w:ascii="Arial" w:hAnsi="Arial" w:cs="Arial"/>
          <w:sz w:val="24"/>
          <w:szCs w:val="24"/>
          <w:lang w:val="en-US"/>
        </w:rPr>
        <w:br/>
        <w:t xml:space="preserve">While risk taking and risk factors can be common in young people, a referral to ASWT becomes appropriate where the risk reaches a level that necessitates intervention to promote the safety and well-being of the child, despite efforts of the parents to safeguarding them. </w:t>
      </w:r>
      <w:r w:rsidRPr="00BC6632">
        <w:rPr>
          <w:rFonts w:ascii="Arial" w:hAnsi="Arial" w:cs="Arial"/>
          <w:color w:val="000000"/>
          <w:sz w:val="24"/>
          <w:szCs w:val="24"/>
          <w:lang w:val="en-US"/>
        </w:rPr>
        <w:t xml:space="preserve"> </w:t>
      </w:r>
    </w:p>
    <w:p w14:paraId="0E75AE85" w14:textId="77777777" w:rsidR="00BC6632" w:rsidRPr="00BC6632" w:rsidRDefault="00BC6632" w:rsidP="00BC6632">
      <w:pPr>
        <w:spacing w:before="12" w:after="12" w:line="276" w:lineRule="auto"/>
        <w:ind w:left="360"/>
        <w:rPr>
          <w:rFonts w:ascii="Arial" w:hAnsi="Arial" w:cs="Arial"/>
          <w:sz w:val="24"/>
          <w:szCs w:val="24"/>
          <w:lang w:val="en-US"/>
        </w:rPr>
      </w:pPr>
    </w:p>
    <w:p w14:paraId="53B4E1D5" w14:textId="77777777" w:rsidR="00BC6632" w:rsidRPr="00BC6632" w:rsidRDefault="00BC6632" w:rsidP="00BC6632">
      <w:pPr>
        <w:spacing w:before="12" w:after="12" w:line="276" w:lineRule="auto"/>
        <w:ind w:left="360"/>
        <w:rPr>
          <w:rFonts w:ascii="Arial" w:hAnsi="Arial" w:cs="Arial"/>
          <w:color w:val="000000"/>
          <w:sz w:val="24"/>
          <w:szCs w:val="24"/>
        </w:rPr>
      </w:pPr>
      <w:r w:rsidRPr="00BC6632">
        <w:rPr>
          <w:rFonts w:ascii="Arial" w:hAnsi="Arial" w:cs="Arial"/>
          <w:sz w:val="24"/>
          <w:szCs w:val="24"/>
          <w:lang w:val="en-US"/>
        </w:rPr>
        <w:t xml:space="preserve">ASWT provides whole family support which relates to the </w:t>
      </w:r>
      <w:proofErr w:type="gramStart"/>
      <w:r w:rsidRPr="00BC6632">
        <w:rPr>
          <w:rFonts w:ascii="Arial" w:hAnsi="Arial" w:cs="Arial"/>
          <w:sz w:val="24"/>
          <w:szCs w:val="24"/>
          <w:lang w:val="en-US"/>
        </w:rPr>
        <w:t>adolescent</w:t>
      </w:r>
      <w:proofErr w:type="gramEnd"/>
      <w:r w:rsidRPr="00BC6632">
        <w:rPr>
          <w:rFonts w:ascii="Arial" w:hAnsi="Arial" w:cs="Arial"/>
          <w:sz w:val="24"/>
          <w:szCs w:val="24"/>
          <w:lang w:val="en-US"/>
        </w:rPr>
        <w:t xml:space="preserve"> (such as parenting and relationship advice). Siblings requiring their own plan (including YJ, EH, </w:t>
      </w:r>
      <w:proofErr w:type="spellStart"/>
      <w:r w:rsidRPr="00BC6632">
        <w:rPr>
          <w:rFonts w:ascii="Arial" w:hAnsi="Arial" w:cs="Arial"/>
          <w:sz w:val="24"/>
          <w:szCs w:val="24"/>
          <w:lang w:val="en-US"/>
        </w:rPr>
        <w:t>CiN</w:t>
      </w:r>
      <w:proofErr w:type="spellEnd"/>
      <w:r w:rsidRPr="00BC6632">
        <w:rPr>
          <w:rFonts w:ascii="Arial" w:hAnsi="Arial" w:cs="Arial"/>
          <w:sz w:val="24"/>
          <w:szCs w:val="24"/>
          <w:lang w:val="en-US"/>
        </w:rPr>
        <w:t xml:space="preserve"> and CP) will be case held by CSWS, YJ or EH where these are the most relevant services: not ASWT.  In these cases, the expectations of joint working and the consideration of additionality that ASWT can provide to SWs should be explored, and recorded, by the relevant Team Managers. </w:t>
      </w:r>
      <w:r w:rsidRPr="00BC6632">
        <w:rPr>
          <w:rFonts w:ascii="Arial" w:hAnsi="Arial" w:cs="Arial"/>
          <w:sz w:val="24"/>
          <w:szCs w:val="24"/>
          <w:lang w:val="en-US"/>
        </w:rPr>
        <w:br/>
      </w:r>
      <w:r w:rsidRPr="00BC6632">
        <w:rPr>
          <w:rFonts w:ascii="Arial" w:hAnsi="Arial" w:cs="Arial"/>
          <w:sz w:val="24"/>
          <w:szCs w:val="24"/>
          <w:lang w:val="en-US"/>
        </w:rPr>
        <w:br/>
      </w:r>
      <w:r w:rsidRPr="00BC6632">
        <w:rPr>
          <w:rFonts w:ascii="Arial" w:hAnsi="Arial" w:cs="Arial"/>
          <w:color w:val="000000"/>
          <w:sz w:val="24"/>
          <w:szCs w:val="24"/>
        </w:rPr>
        <w:t xml:space="preserve">Family breakdown resulting from parenting challenges (including parental substance misuse and MH, abuse, and neglect) are typically appropriate for Children’s Social Work, as well as those adolescents who are expected to come into, or already are, in care, and are unlikely to return home- including where parents are refusing to have them home.  </w:t>
      </w:r>
    </w:p>
    <w:p w14:paraId="5D488716" w14:textId="77777777" w:rsidR="00BC6632" w:rsidRPr="00BC6632" w:rsidRDefault="00BC6632" w:rsidP="00BC6632">
      <w:pPr>
        <w:autoSpaceDE w:val="0"/>
        <w:autoSpaceDN w:val="0"/>
        <w:adjustRightInd w:val="0"/>
        <w:spacing w:before="12" w:after="12" w:line="276" w:lineRule="auto"/>
        <w:ind w:left="360"/>
        <w:rPr>
          <w:rFonts w:ascii="Arial" w:hAnsi="Arial" w:cs="Arial"/>
          <w:color w:val="000000"/>
          <w:sz w:val="24"/>
          <w:szCs w:val="24"/>
        </w:rPr>
      </w:pPr>
    </w:p>
    <w:p w14:paraId="4273479C" w14:textId="77777777" w:rsidR="00BC6632" w:rsidRPr="00BC6632" w:rsidRDefault="00BC6632" w:rsidP="00BC6632">
      <w:pPr>
        <w:spacing w:before="12" w:after="12" w:line="276" w:lineRule="auto"/>
        <w:ind w:left="360"/>
        <w:rPr>
          <w:rFonts w:ascii="Arial" w:hAnsi="Arial" w:cs="Arial"/>
          <w:sz w:val="24"/>
          <w:szCs w:val="24"/>
          <w:lang w:val="en-US"/>
        </w:rPr>
      </w:pPr>
      <w:r w:rsidRPr="00BC6632">
        <w:rPr>
          <w:rFonts w:ascii="Arial" w:hAnsi="Arial" w:cs="Arial"/>
          <w:sz w:val="24"/>
          <w:szCs w:val="24"/>
          <w:lang w:val="en-US"/>
        </w:rPr>
        <w:t xml:space="preserve">ASWT aims to work with young people in a different way to other services: particularly in intensity, flexibility and focus on relationship building with the adolescent. There may be occasions when young people open to ASWT may be at such risk that a Child Protection Plan is necessary due to contextual safeguarding issues. ASWT will continue to case hold these cases, however, should there be parenting issues identified which necessitate a Child Protection </w:t>
      </w:r>
      <w:r w:rsidRPr="00BC6632">
        <w:rPr>
          <w:rFonts w:ascii="Arial" w:hAnsi="Arial" w:cs="Arial"/>
          <w:sz w:val="24"/>
          <w:szCs w:val="24"/>
          <w:lang w:val="en-US"/>
        </w:rPr>
        <w:lastRenderedPageBreak/>
        <w:t xml:space="preserve">Plan there should be a consultation between ASWT and CSWT to determine whether transfer should occur between teams. </w:t>
      </w:r>
    </w:p>
    <w:p w14:paraId="5B8F05BC" w14:textId="77777777" w:rsidR="00BC6632" w:rsidRPr="00BC6632" w:rsidRDefault="00BC6632" w:rsidP="00BC6632">
      <w:pPr>
        <w:spacing w:before="12" w:after="12" w:line="276" w:lineRule="auto"/>
        <w:ind w:left="360"/>
        <w:rPr>
          <w:rFonts w:ascii="Arial" w:hAnsi="Arial" w:cs="Arial"/>
          <w:sz w:val="24"/>
          <w:szCs w:val="24"/>
          <w:lang w:val="en-US"/>
        </w:rPr>
      </w:pPr>
    </w:p>
    <w:p w14:paraId="18DBE3E0" w14:textId="77777777" w:rsidR="00BC6632" w:rsidRPr="00BC6632" w:rsidRDefault="00BC6632" w:rsidP="00BC6632">
      <w:pPr>
        <w:spacing w:before="12" w:after="12" w:line="276" w:lineRule="auto"/>
        <w:ind w:left="360"/>
        <w:rPr>
          <w:rFonts w:ascii="Arial" w:hAnsi="Arial" w:cs="Arial"/>
          <w:sz w:val="24"/>
          <w:szCs w:val="24"/>
          <w:lang w:val="en-US"/>
        </w:rPr>
      </w:pPr>
      <w:r w:rsidRPr="00BC6632">
        <w:rPr>
          <w:rFonts w:ascii="Arial" w:hAnsi="Arial" w:cs="Arial"/>
          <w:sz w:val="24"/>
          <w:szCs w:val="24"/>
          <w:lang w:val="en-US"/>
        </w:rPr>
        <w:t xml:space="preserve">Similarly, for children in need, should AST assess that the presenting adolescent issues have been resolved, they may seek transfer to a CSWT for children in need that require longer term parenting support. </w:t>
      </w:r>
    </w:p>
    <w:p w14:paraId="46C1D567" w14:textId="77777777" w:rsidR="00BC6632" w:rsidRPr="00BC6632" w:rsidRDefault="00BC6632" w:rsidP="00BC6632">
      <w:pPr>
        <w:spacing w:before="12" w:after="12" w:line="276" w:lineRule="auto"/>
        <w:ind w:left="360"/>
        <w:rPr>
          <w:rFonts w:ascii="Arial" w:hAnsi="Arial" w:cs="Arial"/>
          <w:sz w:val="24"/>
          <w:szCs w:val="24"/>
          <w:lang w:val="en-US"/>
        </w:rPr>
      </w:pPr>
    </w:p>
    <w:p w14:paraId="15249FC5" w14:textId="77777777" w:rsidR="00BC6632" w:rsidRPr="00BC6632" w:rsidRDefault="00BC6632" w:rsidP="00BC6632">
      <w:pPr>
        <w:spacing w:before="12" w:after="12" w:line="276" w:lineRule="auto"/>
        <w:ind w:left="360"/>
        <w:rPr>
          <w:rFonts w:ascii="Arial" w:hAnsi="Arial" w:cs="Arial"/>
          <w:sz w:val="24"/>
          <w:szCs w:val="24"/>
          <w:lang w:val="en-US"/>
        </w:rPr>
      </w:pPr>
      <w:r w:rsidRPr="00BC6632">
        <w:rPr>
          <w:rFonts w:ascii="Arial" w:hAnsi="Arial" w:cs="Arial"/>
          <w:sz w:val="24"/>
          <w:szCs w:val="24"/>
          <w:lang w:val="en-US"/>
        </w:rPr>
        <w:t xml:space="preserve">Services should consider existing relationships, and the impact of changing workers, within transfer decisions. </w:t>
      </w:r>
    </w:p>
    <w:p w14:paraId="391209C1" w14:textId="77777777" w:rsidR="00BC6632" w:rsidRPr="00BC6632" w:rsidRDefault="00BC6632" w:rsidP="00BC6632">
      <w:pPr>
        <w:spacing w:before="12" w:after="12" w:line="276" w:lineRule="auto"/>
        <w:ind w:left="360"/>
        <w:rPr>
          <w:rFonts w:ascii="Arial" w:hAnsi="Arial" w:cs="Arial"/>
          <w:sz w:val="24"/>
          <w:szCs w:val="24"/>
          <w:highlight w:val="yellow"/>
          <w:lang w:val="en-US"/>
        </w:rPr>
      </w:pPr>
    </w:p>
    <w:p w14:paraId="040D0C01" w14:textId="77777777" w:rsidR="00BC6632" w:rsidRPr="00BC6632" w:rsidRDefault="00BC6632" w:rsidP="00BC6632">
      <w:pPr>
        <w:spacing w:before="12" w:after="12" w:line="276" w:lineRule="auto"/>
        <w:ind w:left="360"/>
        <w:rPr>
          <w:rFonts w:ascii="Arial" w:hAnsi="Arial" w:cs="Arial"/>
          <w:bCs/>
          <w:sz w:val="24"/>
          <w:szCs w:val="24"/>
          <w:lang w:val="en-US"/>
        </w:rPr>
      </w:pPr>
      <w:r w:rsidRPr="00BC6632">
        <w:rPr>
          <w:rFonts w:ascii="Arial" w:hAnsi="Arial" w:cs="Arial"/>
          <w:b/>
          <w:sz w:val="24"/>
          <w:szCs w:val="24"/>
          <w:lang w:val="en-US"/>
        </w:rPr>
        <w:t>4.2 JHAs</w:t>
      </w:r>
      <w:r w:rsidRPr="00BC6632">
        <w:rPr>
          <w:rFonts w:ascii="Arial" w:hAnsi="Arial" w:cs="Arial"/>
          <w:bCs/>
          <w:sz w:val="24"/>
          <w:szCs w:val="24"/>
          <w:lang w:val="en-US"/>
        </w:rPr>
        <w:br/>
        <w:t xml:space="preserve">ASWT’s priority is to meet the demand of statutory joint housing assessments (JHA) when a 16/17-year-old presents as homeless. Referrals for a JHAs come directly to ASWT via the Front Door. </w:t>
      </w:r>
      <w:r w:rsidRPr="00BC6632">
        <w:rPr>
          <w:rFonts w:ascii="Arial" w:hAnsi="Arial" w:cs="Arial"/>
          <w:bCs/>
          <w:sz w:val="24"/>
          <w:szCs w:val="24"/>
          <w:lang w:val="en-US"/>
        </w:rPr>
        <w:br/>
      </w:r>
      <w:r w:rsidRPr="00BC6632">
        <w:rPr>
          <w:rFonts w:ascii="Arial" w:hAnsi="Arial" w:cs="Arial"/>
          <w:bCs/>
          <w:sz w:val="24"/>
          <w:szCs w:val="24"/>
          <w:lang w:val="en-US"/>
        </w:rPr>
        <w:br/>
        <w:t xml:space="preserve">ASWT will allocate a Social Work resource within their teams to undertake this within statutory timescales. </w:t>
      </w:r>
    </w:p>
    <w:p w14:paraId="03924282" w14:textId="77777777" w:rsidR="00BC6632" w:rsidRPr="00BC6632" w:rsidRDefault="00BC6632" w:rsidP="00BC6632">
      <w:pPr>
        <w:spacing w:before="12" w:after="12" w:line="276" w:lineRule="auto"/>
        <w:ind w:left="360"/>
        <w:rPr>
          <w:rFonts w:ascii="Arial" w:hAnsi="Arial" w:cs="Arial"/>
          <w:bCs/>
          <w:sz w:val="24"/>
          <w:szCs w:val="24"/>
          <w:lang w:val="en-US"/>
        </w:rPr>
      </w:pPr>
    </w:p>
    <w:p w14:paraId="1D0E14EC" w14:textId="77777777" w:rsidR="00BC6632" w:rsidRPr="00BC6632" w:rsidRDefault="00BC6632" w:rsidP="00BC6632">
      <w:pPr>
        <w:spacing w:before="12" w:after="12" w:line="276" w:lineRule="auto"/>
        <w:ind w:left="360"/>
        <w:rPr>
          <w:rFonts w:ascii="Arial" w:hAnsi="Arial" w:cs="Arial"/>
          <w:bCs/>
          <w:sz w:val="24"/>
          <w:szCs w:val="24"/>
          <w:lang w:val="en-US"/>
        </w:rPr>
      </w:pPr>
      <w:r w:rsidRPr="00BC6632">
        <w:rPr>
          <w:rFonts w:ascii="Arial" w:hAnsi="Arial" w:cs="Arial"/>
          <w:bCs/>
          <w:sz w:val="24"/>
          <w:szCs w:val="24"/>
          <w:lang w:val="en-US"/>
        </w:rPr>
        <w:t xml:space="preserve">If a CSWT is holding a case where the need for a JHA arises, they can seek advice and support if needed from ASWT, to assist the allocated social worker in carrying out this task. </w:t>
      </w:r>
      <w:r w:rsidRPr="00BC6632">
        <w:rPr>
          <w:rFonts w:ascii="Arial" w:hAnsi="Arial" w:cs="Arial"/>
          <w:bCs/>
          <w:sz w:val="24"/>
          <w:szCs w:val="24"/>
          <w:lang w:val="en-US"/>
        </w:rPr>
        <w:br/>
      </w:r>
    </w:p>
    <w:p w14:paraId="40457534" w14:textId="77777777" w:rsidR="00BC6632" w:rsidRPr="00BC6632" w:rsidRDefault="00BC6632" w:rsidP="00BC6632">
      <w:pPr>
        <w:spacing w:before="12" w:after="12" w:line="276" w:lineRule="auto"/>
        <w:ind w:left="360"/>
        <w:rPr>
          <w:rFonts w:ascii="Arial" w:hAnsi="Arial" w:cs="Arial"/>
          <w:color w:val="000000"/>
          <w:sz w:val="24"/>
          <w:szCs w:val="24"/>
        </w:rPr>
      </w:pPr>
      <w:r w:rsidRPr="00BC6632">
        <w:rPr>
          <w:rFonts w:ascii="Arial" w:hAnsi="Arial" w:cs="Arial"/>
          <w:b/>
          <w:bCs/>
          <w:sz w:val="24"/>
          <w:szCs w:val="24"/>
          <w:lang w:val="en-US"/>
        </w:rPr>
        <w:t>4.2</w:t>
      </w:r>
      <w:r w:rsidRPr="00BC6632">
        <w:rPr>
          <w:rFonts w:ascii="Arial" w:hAnsi="Arial" w:cs="Arial"/>
          <w:sz w:val="24"/>
          <w:szCs w:val="24"/>
          <w:lang w:val="en-US"/>
        </w:rPr>
        <w:t xml:space="preserve"> </w:t>
      </w:r>
      <w:r w:rsidRPr="00BC6632">
        <w:rPr>
          <w:rFonts w:ascii="Arial" w:hAnsi="Arial" w:cs="Arial"/>
          <w:b/>
          <w:bCs/>
          <w:sz w:val="24"/>
          <w:szCs w:val="24"/>
          <w:lang w:val="en-US"/>
        </w:rPr>
        <w:t>EDGE OF CARE</w:t>
      </w:r>
      <w:r w:rsidRPr="00BC6632">
        <w:rPr>
          <w:rFonts w:ascii="Arial" w:hAnsi="Arial" w:cs="Arial"/>
          <w:sz w:val="24"/>
          <w:szCs w:val="24"/>
          <w:lang w:val="en-US"/>
        </w:rPr>
        <w:br/>
      </w:r>
      <w:r w:rsidRPr="00BC6632">
        <w:rPr>
          <w:rFonts w:ascii="Arial" w:hAnsi="Arial" w:cs="Arial"/>
          <w:bCs/>
          <w:sz w:val="24"/>
          <w:szCs w:val="24"/>
          <w:lang w:val="en-US"/>
        </w:rPr>
        <w:t>ASWT will work with those families where a teenager is on the ‘edge of care’ due to a perceived high risk of family breakdown, and where parents are willing to cooperate with ASWT to prevent the adolescent from coming into care, or to facilitate their return home, in the following</w:t>
      </w:r>
      <w:r w:rsidRPr="00BC6632">
        <w:rPr>
          <w:rFonts w:ascii="Arial" w:hAnsi="Arial" w:cs="Arial"/>
          <w:color w:val="000000"/>
          <w:sz w:val="24"/>
          <w:szCs w:val="24"/>
          <w:lang w:val="en-US"/>
        </w:rPr>
        <w:t xml:space="preserve"> circumstances: </w:t>
      </w:r>
    </w:p>
    <w:p w14:paraId="43AE3311" w14:textId="77777777" w:rsidR="00BC6632" w:rsidRPr="00BC6632" w:rsidRDefault="00BC6632" w:rsidP="00BC6632">
      <w:pPr>
        <w:numPr>
          <w:ilvl w:val="0"/>
          <w:numId w:val="29"/>
        </w:numPr>
        <w:autoSpaceDE w:val="0"/>
        <w:autoSpaceDN w:val="0"/>
        <w:adjustRightInd w:val="0"/>
        <w:spacing w:before="12" w:after="12" w:line="276" w:lineRule="auto"/>
        <w:rPr>
          <w:rFonts w:ascii="Arial" w:hAnsi="Arial" w:cs="Arial"/>
          <w:color w:val="000000"/>
          <w:sz w:val="24"/>
          <w:szCs w:val="24"/>
        </w:rPr>
      </w:pPr>
      <w:r w:rsidRPr="00BC6632">
        <w:rPr>
          <w:rFonts w:ascii="Arial" w:hAnsi="Arial" w:cs="Arial"/>
          <w:color w:val="000000"/>
          <w:sz w:val="24"/>
          <w:szCs w:val="24"/>
          <w:lang w:val="en-US"/>
        </w:rPr>
        <w:t xml:space="preserve">there is evidence that the adolescent is subject to child criminal </w:t>
      </w:r>
      <w:proofErr w:type="gramStart"/>
      <w:r w:rsidRPr="00BC6632">
        <w:rPr>
          <w:rFonts w:ascii="Arial" w:hAnsi="Arial" w:cs="Arial"/>
          <w:color w:val="000000"/>
          <w:sz w:val="24"/>
          <w:szCs w:val="24"/>
          <w:lang w:val="en-US"/>
        </w:rPr>
        <w:t>exploitation</w:t>
      </w:r>
      <w:proofErr w:type="gramEnd"/>
    </w:p>
    <w:p w14:paraId="0CE9F197" w14:textId="77777777" w:rsidR="00BC6632" w:rsidRPr="00BC6632" w:rsidRDefault="00BC6632" w:rsidP="00BC6632">
      <w:pPr>
        <w:numPr>
          <w:ilvl w:val="0"/>
          <w:numId w:val="29"/>
        </w:numPr>
        <w:autoSpaceDE w:val="0"/>
        <w:autoSpaceDN w:val="0"/>
        <w:adjustRightInd w:val="0"/>
        <w:spacing w:before="12" w:after="12" w:line="276" w:lineRule="auto"/>
        <w:rPr>
          <w:rFonts w:ascii="Arial" w:hAnsi="Arial" w:cs="Arial"/>
          <w:color w:val="000000"/>
          <w:sz w:val="24"/>
          <w:szCs w:val="24"/>
        </w:rPr>
      </w:pPr>
      <w:r w:rsidRPr="00BC6632">
        <w:rPr>
          <w:rFonts w:ascii="Arial" w:hAnsi="Arial" w:cs="Arial"/>
          <w:color w:val="000000"/>
          <w:sz w:val="24"/>
          <w:szCs w:val="24"/>
          <w:lang w:val="en-US"/>
        </w:rPr>
        <w:t xml:space="preserve">there is evidence the adolescent is regularly at significant risk in settings outside of the </w:t>
      </w:r>
      <w:proofErr w:type="gramStart"/>
      <w:r w:rsidRPr="00BC6632">
        <w:rPr>
          <w:rFonts w:ascii="Arial" w:hAnsi="Arial" w:cs="Arial"/>
          <w:color w:val="000000"/>
          <w:sz w:val="24"/>
          <w:szCs w:val="24"/>
          <w:lang w:val="en-US"/>
        </w:rPr>
        <w:t>family</w:t>
      </w:r>
      <w:proofErr w:type="gramEnd"/>
    </w:p>
    <w:p w14:paraId="05E5DC3D" w14:textId="77777777" w:rsidR="00BC6632" w:rsidRPr="00BC6632" w:rsidRDefault="00BC6632" w:rsidP="00BC6632">
      <w:pPr>
        <w:autoSpaceDE w:val="0"/>
        <w:autoSpaceDN w:val="0"/>
        <w:adjustRightInd w:val="0"/>
        <w:spacing w:before="12" w:after="12" w:line="276" w:lineRule="auto"/>
        <w:ind w:left="720"/>
        <w:rPr>
          <w:rFonts w:ascii="Arial" w:hAnsi="Arial" w:cs="Arial"/>
          <w:color w:val="000000"/>
          <w:sz w:val="24"/>
          <w:szCs w:val="24"/>
        </w:rPr>
      </w:pPr>
    </w:p>
    <w:p w14:paraId="5E3ED458" w14:textId="77777777" w:rsidR="00BC6632" w:rsidRPr="00BC6632" w:rsidRDefault="00BC6632" w:rsidP="00BC6632">
      <w:pPr>
        <w:spacing w:before="12" w:after="12" w:line="276" w:lineRule="auto"/>
        <w:ind w:left="360"/>
        <w:rPr>
          <w:rFonts w:ascii="Arial" w:hAnsi="Arial" w:cs="Arial"/>
          <w:bCs/>
          <w:sz w:val="24"/>
          <w:szCs w:val="24"/>
          <w:lang w:val="en-US"/>
        </w:rPr>
      </w:pPr>
      <w:r w:rsidRPr="00BC6632">
        <w:rPr>
          <w:rFonts w:ascii="Arial" w:hAnsi="Arial" w:cs="Arial"/>
          <w:bCs/>
          <w:sz w:val="24"/>
          <w:szCs w:val="24"/>
          <w:lang w:val="en-US"/>
        </w:rPr>
        <w:t xml:space="preserve">ASWT will work with a child and their family to sustain them at home. Where the child has entered care from CSWT, Adolescent Services will provide support to the </w:t>
      </w:r>
      <w:proofErr w:type="spellStart"/>
      <w:r w:rsidRPr="00BC6632">
        <w:rPr>
          <w:rFonts w:ascii="Arial" w:hAnsi="Arial" w:cs="Arial"/>
          <w:bCs/>
          <w:sz w:val="24"/>
          <w:szCs w:val="24"/>
          <w:lang w:val="en-US"/>
        </w:rPr>
        <w:t>caseholding</w:t>
      </w:r>
      <w:proofErr w:type="spellEnd"/>
      <w:r w:rsidRPr="00BC6632">
        <w:rPr>
          <w:rFonts w:ascii="Arial" w:hAnsi="Arial" w:cs="Arial"/>
          <w:bCs/>
          <w:sz w:val="24"/>
          <w:szCs w:val="24"/>
          <w:lang w:val="en-US"/>
        </w:rPr>
        <w:t xml:space="preserve"> CSWS team to explore rehabilitation options. If rehabilitation is not successful, the expectation is that the case will transfer to </w:t>
      </w:r>
      <w:proofErr w:type="spellStart"/>
      <w:r w:rsidRPr="00BC6632">
        <w:rPr>
          <w:rFonts w:ascii="Arial" w:hAnsi="Arial" w:cs="Arial"/>
          <w:bCs/>
          <w:sz w:val="24"/>
          <w:szCs w:val="24"/>
          <w:lang w:val="en-US"/>
        </w:rPr>
        <w:t>CiC</w:t>
      </w:r>
      <w:proofErr w:type="spellEnd"/>
      <w:r w:rsidRPr="00BC6632">
        <w:rPr>
          <w:rFonts w:ascii="Arial" w:hAnsi="Arial" w:cs="Arial"/>
          <w:bCs/>
          <w:sz w:val="24"/>
          <w:szCs w:val="24"/>
          <w:lang w:val="en-US"/>
        </w:rPr>
        <w:t xml:space="preserve">. </w:t>
      </w:r>
    </w:p>
    <w:p w14:paraId="2B65190C" w14:textId="77777777" w:rsidR="00BC6632" w:rsidRPr="00BC6632" w:rsidRDefault="00BC6632" w:rsidP="00BC6632">
      <w:pPr>
        <w:spacing w:before="12" w:after="12" w:line="276" w:lineRule="auto"/>
        <w:ind w:left="360"/>
        <w:rPr>
          <w:rFonts w:ascii="Arial" w:hAnsi="Arial" w:cs="Arial"/>
          <w:bCs/>
          <w:sz w:val="24"/>
          <w:szCs w:val="24"/>
          <w:lang w:val="en-US"/>
        </w:rPr>
      </w:pPr>
    </w:p>
    <w:p w14:paraId="607EBC78" w14:textId="77777777" w:rsidR="00BC6632" w:rsidRPr="00BC6632" w:rsidRDefault="00BC6632" w:rsidP="00BC6632">
      <w:pPr>
        <w:spacing w:before="12" w:after="12" w:line="276" w:lineRule="auto"/>
        <w:ind w:left="360"/>
        <w:rPr>
          <w:rFonts w:ascii="Arial" w:hAnsi="Arial" w:cs="Arial"/>
          <w:bCs/>
          <w:sz w:val="24"/>
          <w:szCs w:val="24"/>
          <w:lang w:val="en-US"/>
        </w:rPr>
      </w:pPr>
      <w:r w:rsidRPr="00BC6632">
        <w:rPr>
          <w:rFonts w:ascii="Arial" w:hAnsi="Arial" w:cs="Arial"/>
          <w:bCs/>
          <w:sz w:val="24"/>
          <w:szCs w:val="24"/>
          <w:lang w:val="en-US"/>
        </w:rPr>
        <w:t xml:space="preserve">If a child open to ASWT comes into care, under s.20 and expected to be short term, the ASWT will continue to work with the child, and their family, with the intention of moving them out of care. </w:t>
      </w:r>
    </w:p>
    <w:p w14:paraId="791142FF" w14:textId="77777777" w:rsidR="00BC6632" w:rsidRPr="00BC6632" w:rsidRDefault="00BC6632" w:rsidP="00BC6632">
      <w:pPr>
        <w:spacing w:before="12" w:after="12" w:line="276" w:lineRule="auto"/>
        <w:ind w:left="360"/>
        <w:rPr>
          <w:rFonts w:ascii="Arial" w:hAnsi="Arial" w:cs="Arial"/>
          <w:bCs/>
          <w:sz w:val="24"/>
          <w:szCs w:val="24"/>
          <w:lang w:val="en-US"/>
        </w:rPr>
      </w:pPr>
    </w:p>
    <w:p w14:paraId="2644370F" w14:textId="77777777" w:rsidR="00BC6632" w:rsidRPr="00BC6632" w:rsidRDefault="00BC6632" w:rsidP="00BC6632">
      <w:pPr>
        <w:spacing w:before="12" w:after="12" w:line="276" w:lineRule="auto"/>
        <w:ind w:left="360"/>
        <w:rPr>
          <w:rFonts w:ascii="Arial" w:hAnsi="Arial" w:cs="Arial"/>
          <w:bCs/>
          <w:sz w:val="24"/>
          <w:szCs w:val="24"/>
          <w:lang w:val="en-US"/>
        </w:rPr>
      </w:pPr>
      <w:r w:rsidRPr="00BC6632">
        <w:rPr>
          <w:rFonts w:ascii="Arial" w:hAnsi="Arial" w:cs="Arial"/>
          <w:bCs/>
          <w:sz w:val="24"/>
          <w:szCs w:val="24"/>
          <w:lang w:val="en-US"/>
        </w:rPr>
        <w:lastRenderedPageBreak/>
        <w:t xml:space="preserve">If a child comes into care via ASWT, and a permanency planning meeting has determined that they will remain in care, the child will be transferred to the </w:t>
      </w:r>
      <w:proofErr w:type="spellStart"/>
      <w:r w:rsidRPr="00BC6632">
        <w:rPr>
          <w:rFonts w:ascii="Arial" w:hAnsi="Arial" w:cs="Arial"/>
          <w:bCs/>
          <w:sz w:val="24"/>
          <w:szCs w:val="24"/>
          <w:lang w:val="en-US"/>
        </w:rPr>
        <w:t>CiC</w:t>
      </w:r>
      <w:proofErr w:type="spellEnd"/>
      <w:r w:rsidRPr="00BC6632">
        <w:rPr>
          <w:rFonts w:ascii="Arial" w:hAnsi="Arial" w:cs="Arial"/>
          <w:bCs/>
          <w:sz w:val="24"/>
          <w:szCs w:val="24"/>
          <w:lang w:val="en-US"/>
        </w:rPr>
        <w:t xml:space="preserve"> team. ASWT will hold children in care until the initial Court Hearing.</w:t>
      </w:r>
    </w:p>
    <w:p w14:paraId="22010F32" w14:textId="77777777" w:rsidR="00BC6632" w:rsidRPr="00BC6632" w:rsidRDefault="00BC6632" w:rsidP="00BC6632">
      <w:pPr>
        <w:spacing w:before="12" w:after="12" w:line="276" w:lineRule="auto"/>
        <w:ind w:left="360"/>
        <w:rPr>
          <w:rFonts w:ascii="Arial" w:hAnsi="Arial" w:cs="Arial"/>
          <w:b/>
          <w:bCs/>
          <w:color w:val="000000"/>
          <w:sz w:val="24"/>
          <w:szCs w:val="24"/>
          <w:lang w:val="en-US"/>
        </w:rPr>
      </w:pPr>
      <w:r w:rsidRPr="00BC6632">
        <w:rPr>
          <w:rFonts w:ascii="Arial" w:hAnsi="Arial" w:cs="Arial"/>
          <w:color w:val="000000"/>
          <w:sz w:val="24"/>
          <w:szCs w:val="24"/>
          <w:lang w:val="en-US"/>
        </w:rPr>
        <w:br/>
      </w:r>
      <w:r w:rsidRPr="00BC6632">
        <w:rPr>
          <w:rFonts w:ascii="Arial" w:hAnsi="Arial" w:cs="Arial"/>
          <w:b/>
          <w:bCs/>
          <w:color w:val="000000"/>
          <w:sz w:val="24"/>
          <w:szCs w:val="24"/>
          <w:lang w:val="en-US"/>
        </w:rPr>
        <w:t>4.3 OUT OF COURT DISPOSALS</w:t>
      </w:r>
    </w:p>
    <w:p w14:paraId="1DB0B55A" w14:textId="77777777" w:rsidR="00BC6632" w:rsidRPr="00BC6632" w:rsidRDefault="00BC6632" w:rsidP="00BC6632">
      <w:pPr>
        <w:spacing w:before="12" w:after="12" w:line="276" w:lineRule="auto"/>
        <w:ind w:left="360"/>
        <w:rPr>
          <w:rFonts w:ascii="Arial" w:hAnsi="Arial" w:cs="Arial"/>
          <w:bCs/>
          <w:sz w:val="24"/>
          <w:szCs w:val="24"/>
          <w:lang w:val="en-US"/>
        </w:rPr>
      </w:pPr>
      <w:r w:rsidRPr="00BC6632">
        <w:rPr>
          <w:rFonts w:ascii="Arial" w:hAnsi="Arial" w:cs="Arial"/>
          <w:bCs/>
          <w:sz w:val="24"/>
          <w:szCs w:val="24"/>
          <w:lang w:val="en-US"/>
        </w:rPr>
        <w:t xml:space="preserve">Out of Court disposals (young people aged 10+) will be allocated to Integrated Adolescent Services (Youth Justice or AEH) according to relationship and risk. Processes already exist to inform and manage this, including the Kent screening tool.  </w:t>
      </w:r>
      <w:r w:rsidRPr="00BC6632">
        <w:rPr>
          <w:rFonts w:ascii="Arial" w:hAnsi="Arial" w:cs="Arial"/>
          <w:sz w:val="24"/>
          <w:szCs w:val="24"/>
          <w:vertAlign w:val="superscript"/>
          <w:lang w:val="en-US"/>
        </w:rPr>
        <w:br/>
      </w:r>
    </w:p>
    <w:p w14:paraId="1F29FC6A" w14:textId="77777777" w:rsidR="00BC6632" w:rsidRPr="00BC6632" w:rsidRDefault="00BC6632" w:rsidP="00BC6632">
      <w:pPr>
        <w:spacing w:before="12" w:after="12" w:line="276" w:lineRule="auto"/>
        <w:ind w:left="360"/>
        <w:rPr>
          <w:rFonts w:ascii="Arial" w:hAnsi="Arial" w:cs="Arial"/>
          <w:b/>
          <w:color w:val="000000"/>
          <w:sz w:val="24"/>
          <w:szCs w:val="24"/>
          <w:lang w:val="en-US"/>
        </w:rPr>
      </w:pPr>
      <w:r w:rsidRPr="00BC6632">
        <w:rPr>
          <w:rFonts w:ascii="Arial" w:hAnsi="Arial" w:cs="Arial"/>
          <w:b/>
          <w:color w:val="000000"/>
          <w:sz w:val="24"/>
          <w:szCs w:val="24"/>
          <w:lang w:val="en-US"/>
        </w:rPr>
        <w:t>5. Adolescent EH Units</w:t>
      </w:r>
      <w:r w:rsidRPr="00BC6632">
        <w:rPr>
          <w:rFonts w:ascii="Arial" w:hAnsi="Arial" w:cs="Arial"/>
          <w:sz w:val="24"/>
          <w:szCs w:val="24"/>
          <w:lang w:val="en-US"/>
        </w:rPr>
        <w:br/>
        <w:t xml:space="preserve">AEH Units are a service at support level 3 which do not meet the threshold for CSWS, ASWT or YJ, and aim to prevent escalation to CIN, CP, </w:t>
      </w:r>
      <w:proofErr w:type="gramStart"/>
      <w:r w:rsidRPr="00BC6632">
        <w:rPr>
          <w:rFonts w:ascii="Arial" w:hAnsi="Arial" w:cs="Arial"/>
          <w:sz w:val="24"/>
          <w:szCs w:val="24"/>
          <w:lang w:val="en-US"/>
        </w:rPr>
        <w:t>CIC</w:t>
      </w:r>
      <w:proofErr w:type="gramEnd"/>
      <w:r w:rsidRPr="00BC6632">
        <w:rPr>
          <w:rFonts w:ascii="Arial" w:hAnsi="Arial" w:cs="Arial"/>
          <w:sz w:val="24"/>
          <w:szCs w:val="24"/>
          <w:lang w:val="en-US"/>
        </w:rPr>
        <w:t xml:space="preserve"> and statutory Youth Justice thresholds.    </w:t>
      </w:r>
      <w:r w:rsidRPr="00BC6632">
        <w:rPr>
          <w:rFonts w:ascii="Arial" w:hAnsi="Arial" w:cs="Arial"/>
          <w:sz w:val="24"/>
          <w:szCs w:val="24"/>
          <w:lang w:val="en-US"/>
        </w:rPr>
        <w:br/>
      </w:r>
    </w:p>
    <w:p w14:paraId="28C52342" w14:textId="77777777" w:rsidR="00BC6632" w:rsidRPr="00BC6632" w:rsidRDefault="00BC6632" w:rsidP="00BC6632">
      <w:pPr>
        <w:spacing w:before="12" w:after="12" w:line="276" w:lineRule="auto"/>
        <w:ind w:left="360"/>
        <w:rPr>
          <w:rFonts w:ascii="Arial" w:hAnsi="Arial" w:cs="Arial"/>
          <w:sz w:val="24"/>
          <w:szCs w:val="24"/>
          <w:lang w:val="en-US"/>
        </w:rPr>
      </w:pPr>
      <w:r w:rsidRPr="00BC6632">
        <w:rPr>
          <w:rFonts w:ascii="Arial" w:hAnsi="Arial" w:cs="Arial"/>
          <w:bCs/>
          <w:sz w:val="24"/>
          <w:szCs w:val="24"/>
          <w:lang w:val="en-US"/>
        </w:rPr>
        <w:t xml:space="preserve">The age range for referrals is expected to be 13+ years.  The primary consideration should be about the presenting </w:t>
      </w:r>
      <w:proofErr w:type="spellStart"/>
      <w:r w:rsidRPr="00BC6632">
        <w:rPr>
          <w:rFonts w:ascii="Arial" w:hAnsi="Arial" w:cs="Arial"/>
          <w:bCs/>
          <w:sz w:val="24"/>
          <w:szCs w:val="24"/>
          <w:lang w:val="en-US"/>
        </w:rPr>
        <w:t>behaviours</w:t>
      </w:r>
      <w:proofErr w:type="spellEnd"/>
      <w:r w:rsidRPr="00BC6632">
        <w:rPr>
          <w:rFonts w:ascii="Arial" w:hAnsi="Arial" w:cs="Arial"/>
          <w:bCs/>
          <w:sz w:val="24"/>
          <w:szCs w:val="24"/>
          <w:lang w:val="en-US"/>
        </w:rPr>
        <w:t xml:space="preserve"> and the benefit in having an adolescent practitioner take a flexible, relationship-based approach with the child.</w:t>
      </w:r>
    </w:p>
    <w:p w14:paraId="2DE67006" w14:textId="77777777" w:rsidR="00BC6632" w:rsidRPr="00BC6632" w:rsidRDefault="00BC6632" w:rsidP="00BC6632">
      <w:pPr>
        <w:spacing w:before="12" w:after="12" w:line="276" w:lineRule="auto"/>
        <w:ind w:left="360"/>
        <w:rPr>
          <w:rFonts w:ascii="Arial" w:hAnsi="Arial" w:cs="Arial"/>
          <w:sz w:val="24"/>
          <w:szCs w:val="24"/>
          <w:lang w:val="en-US"/>
        </w:rPr>
      </w:pPr>
    </w:p>
    <w:p w14:paraId="7C644FDF" w14:textId="77777777" w:rsidR="00BC6632" w:rsidRPr="00BC6632" w:rsidRDefault="00BC6632" w:rsidP="00BC6632">
      <w:pPr>
        <w:spacing w:before="12" w:after="12" w:line="276" w:lineRule="auto"/>
        <w:ind w:left="360"/>
        <w:rPr>
          <w:rFonts w:ascii="Arial" w:hAnsi="Arial" w:cs="Arial"/>
          <w:sz w:val="24"/>
          <w:szCs w:val="24"/>
          <w:lang w:val="en-US"/>
        </w:rPr>
      </w:pPr>
      <w:proofErr w:type="gramStart"/>
      <w:r w:rsidRPr="00BC6632">
        <w:rPr>
          <w:rFonts w:ascii="Arial" w:hAnsi="Arial" w:cs="Arial"/>
          <w:sz w:val="24"/>
          <w:szCs w:val="24"/>
          <w:lang w:val="en-US"/>
        </w:rPr>
        <w:t>Similar to</w:t>
      </w:r>
      <w:proofErr w:type="gramEnd"/>
      <w:r w:rsidRPr="00BC6632">
        <w:rPr>
          <w:rFonts w:ascii="Arial" w:hAnsi="Arial" w:cs="Arial"/>
          <w:sz w:val="24"/>
          <w:szCs w:val="24"/>
          <w:lang w:val="en-US"/>
        </w:rPr>
        <w:t xml:space="preserve"> the criteria for ASWT, but where the risk of </w:t>
      </w:r>
      <w:proofErr w:type="gramStart"/>
      <w:r w:rsidRPr="00BC6632">
        <w:rPr>
          <w:rFonts w:ascii="Arial" w:hAnsi="Arial" w:cs="Arial"/>
          <w:sz w:val="24"/>
          <w:szCs w:val="24"/>
          <w:lang w:val="en-US"/>
        </w:rPr>
        <w:t>homeless</w:t>
      </w:r>
      <w:proofErr w:type="gramEnd"/>
      <w:r w:rsidRPr="00BC6632">
        <w:rPr>
          <w:rFonts w:ascii="Arial" w:hAnsi="Arial" w:cs="Arial"/>
          <w:sz w:val="24"/>
          <w:szCs w:val="24"/>
          <w:lang w:val="en-US"/>
        </w:rPr>
        <w:t xml:space="preserve"> and family breakdown is not imminent, for example family members are perceived to be struggling but not yet expressing that the child cannot remain in their care.  AEH will </w:t>
      </w:r>
      <w:proofErr w:type="spellStart"/>
      <w:r w:rsidRPr="00BC6632">
        <w:rPr>
          <w:rFonts w:ascii="Arial" w:hAnsi="Arial" w:cs="Arial"/>
          <w:sz w:val="24"/>
          <w:szCs w:val="24"/>
          <w:lang w:val="en-US"/>
        </w:rPr>
        <w:t>prioritise</w:t>
      </w:r>
      <w:proofErr w:type="spellEnd"/>
      <w:r w:rsidRPr="00BC6632">
        <w:rPr>
          <w:rFonts w:ascii="Arial" w:hAnsi="Arial" w:cs="Arial"/>
          <w:sz w:val="24"/>
          <w:szCs w:val="24"/>
          <w:lang w:val="en-US"/>
        </w:rPr>
        <w:t xml:space="preserve"> those families where an adolescent practitioner is required due to the specific issues which the adolescent presents with.  </w:t>
      </w:r>
    </w:p>
    <w:p w14:paraId="2F5918F8" w14:textId="77777777" w:rsidR="00BC6632" w:rsidRPr="00BC6632" w:rsidRDefault="00BC6632" w:rsidP="00BC6632">
      <w:pPr>
        <w:spacing w:before="12" w:after="12" w:line="276" w:lineRule="auto"/>
        <w:rPr>
          <w:rFonts w:ascii="Arial" w:hAnsi="Arial" w:cs="Arial"/>
          <w:sz w:val="24"/>
          <w:szCs w:val="24"/>
          <w:lang w:val="en-US"/>
        </w:rPr>
      </w:pPr>
    </w:p>
    <w:p w14:paraId="081FBEC9" w14:textId="77777777" w:rsidR="00BC6632" w:rsidRPr="00BC6632" w:rsidRDefault="00BC6632" w:rsidP="00BC6632">
      <w:pPr>
        <w:spacing w:before="12" w:after="12" w:line="276" w:lineRule="auto"/>
        <w:ind w:left="360"/>
        <w:rPr>
          <w:rFonts w:ascii="Arial" w:hAnsi="Arial" w:cs="Arial"/>
          <w:sz w:val="24"/>
          <w:szCs w:val="24"/>
          <w:lang w:val="en-US"/>
        </w:rPr>
      </w:pPr>
      <w:r w:rsidRPr="00BC6632">
        <w:rPr>
          <w:rFonts w:ascii="Arial" w:hAnsi="Arial" w:cs="Arial"/>
          <w:sz w:val="24"/>
          <w:szCs w:val="24"/>
          <w:lang w:val="en-US"/>
        </w:rPr>
        <w:t xml:space="preserve">AEH will not </w:t>
      </w:r>
      <w:proofErr w:type="spellStart"/>
      <w:r w:rsidRPr="00BC6632">
        <w:rPr>
          <w:rFonts w:ascii="Arial" w:hAnsi="Arial" w:cs="Arial"/>
          <w:sz w:val="24"/>
          <w:szCs w:val="24"/>
          <w:lang w:val="en-US"/>
        </w:rPr>
        <w:t>prioritise</w:t>
      </w:r>
      <w:proofErr w:type="spellEnd"/>
      <w:r w:rsidRPr="00BC6632">
        <w:rPr>
          <w:rFonts w:ascii="Arial" w:hAnsi="Arial" w:cs="Arial"/>
          <w:sz w:val="24"/>
          <w:szCs w:val="24"/>
          <w:lang w:val="en-US"/>
        </w:rPr>
        <w:t xml:space="preserve"> cases at support level 3 simply because there are adolescents present within the family. </w:t>
      </w:r>
    </w:p>
    <w:p w14:paraId="44E6CC95" w14:textId="77777777" w:rsidR="00BC6632" w:rsidRPr="00BC6632" w:rsidRDefault="00BC6632" w:rsidP="00BC6632">
      <w:pPr>
        <w:spacing w:before="12" w:after="12" w:line="276" w:lineRule="auto"/>
        <w:rPr>
          <w:rFonts w:ascii="Arial" w:hAnsi="Arial" w:cs="Arial"/>
          <w:b/>
          <w:sz w:val="24"/>
          <w:szCs w:val="24"/>
          <w:lang w:val="en-US"/>
        </w:rPr>
      </w:pPr>
    </w:p>
    <w:p w14:paraId="6543465F" w14:textId="77777777" w:rsidR="00BC6632" w:rsidRPr="00BC6632" w:rsidRDefault="00BC6632" w:rsidP="00BC6632">
      <w:pPr>
        <w:spacing w:before="12" w:after="12" w:line="276" w:lineRule="auto"/>
        <w:ind w:left="360"/>
        <w:rPr>
          <w:rFonts w:ascii="Arial" w:hAnsi="Arial" w:cs="Arial"/>
          <w:sz w:val="24"/>
          <w:szCs w:val="24"/>
          <w:lang w:val="en-US"/>
        </w:rPr>
      </w:pPr>
      <w:r w:rsidRPr="00BC6632">
        <w:rPr>
          <w:rFonts w:ascii="Arial" w:hAnsi="Arial" w:cs="Arial"/>
          <w:b/>
          <w:sz w:val="24"/>
          <w:szCs w:val="24"/>
          <w:lang w:val="en-US"/>
        </w:rPr>
        <w:t>5.1 Risk of re-offending/Prevention of Offending</w:t>
      </w:r>
      <w:r w:rsidRPr="00BC6632">
        <w:rPr>
          <w:rFonts w:ascii="Arial" w:hAnsi="Arial" w:cs="Arial"/>
          <w:sz w:val="24"/>
          <w:szCs w:val="24"/>
          <w:lang w:val="en-US"/>
        </w:rPr>
        <w:t xml:space="preserve"> </w:t>
      </w:r>
      <w:r w:rsidRPr="00BC6632">
        <w:rPr>
          <w:rFonts w:ascii="Arial" w:hAnsi="Arial" w:cs="Arial"/>
          <w:sz w:val="24"/>
          <w:szCs w:val="24"/>
          <w:lang w:val="en-US"/>
        </w:rPr>
        <w:br/>
        <w:t xml:space="preserve">All Out of Court Disposals (OOCD’s), unless already open to YJ, will be sent by the Front Door to the Adolescent EH units for the screening tool to be applied. Where a YCC is appropriate or where the tool indicates specific complexities determining the need for a full ASSET plus assessment (such as a risk of serious harm to others, or an established pattern of offending), the case will be transferred to the YJ team for the assessment to be undertaken in timescales. </w:t>
      </w:r>
      <w:r w:rsidRPr="00BC6632">
        <w:rPr>
          <w:rFonts w:ascii="Arial" w:hAnsi="Arial" w:cs="Arial"/>
          <w:sz w:val="24"/>
          <w:szCs w:val="24"/>
          <w:lang w:val="en-US"/>
        </w:rPr>
        <w:br/>
      </w:r>
    </w:p>
    <w:p w14:paraId="60EF86F9" w14:textId="77777777" w:rsidR="00BC6632" w:rsidRPr="00BC6632" w:rsidRDefault="00BC6632" w:rsidP="00BC6632">
      <w:pPr>
        <w:spacing w:before="12" w:after="12" w:line="276" w:lineRule="auto"/>
        <w:ind w:left="360"/>
        <w:rPr>
          <w:rFonts w:ascii="Arial" w:hAnsi="Arial" w:cs="Arial"/>
          <w:sz w:val="24"/>
          <w:szCs w:val="24"/>
          <w:lang w:val="en-US"/>
        </w:rPr>
      </w:pPr>
      <w:r w:rsidRPr="00BC6632">
        <w:rPr>
          <w:rFonts w:ascii="Arial" w:hAnsi="Arial" w:cs="Arial"/>
          <w:sz w:val="24"/>
          <w:szCs w:val="24"/>
          <w:lang w:val="en-US"/>
        </w:rPr>
        <w:t xml:space="preserve">The AEH Unit should aim to assess all OOCDs, excluding those transferred to YJ but including Community Resolutions, and cases which are open to other services including CSWS.  If the risk of offending is low and a Restorative intervention has been implemented by Police, the AEH Unit may negotiate with </w:t>
      </w:r>
      <w:r w:rsidRPr="00BC6632">
        <w:rPr>
          <w:rFonts w:ascii="Arial" w:hAnsi="Arial" w:cs="Arial"/>
          <w:sz w:val="24"/>
          <w:szCs w:val="24"/>
          <w:lang w:val="en-US"/>
        </w:rPr>
        <w:lastRenderedPageBreak/>
        <w:t xml:space="preserve">Youth Services to offer targeted or additional support, and to end Adolescent Service support.  </w:t>
      </w:r>
    </w:p>
    <w:p w14:paraId="6019DDD7" w14:textId="77777777" w:rsidR="00BC6632" w:rsidRPr="00BC6632" w:rsidRDefault="00BC6632" w:rsidP="00BC6632">
      <w:pPr>
        <w:spacing w:before="12" w:after="12" w:line="276" w:lineRule="auto"/>
        <w:rPr>
          <w:rFonts w:ascii="Arial" w:hAnsi="Arial" w:cs="Arial"/>
          <w:sz w:val="24"/>
          <w:szCs w:val="24"/>
          <w:lang w:val="en-US"/>
        </w:rPr>
      </w:pPr>
      <w:r w:rsidRPr="00BC6632">
        <w:rPr>
          <w:rFonts w:ascii="Arial" w:hAnsi="Arial" w:cs="Arial"/>
          <w:sz w:val="24"/>
          <w:szCs w:val="24"/>
          <w:lang w:val="en-US"/>
        </w:rPr>
        <w:t xml:space="preserve"> </w:t>
      </w:r>
    </w:p>
    <w:p w14:paraId="5B6063B6" w14:textId="77777777" w:rsidR="00BC6632" w:rsidRPr="00BC6632" w:rsidRDefault="00BC6632" w:rsidP="00BC6632">
      <w:pPr>
        <w:spacing w:before="12" w:after="12" w:line="276" w:lineRule="auto"/>
        <w:ind w:firstLine="360"/>
        <w:rPr>
          <w:rFonts w:ascii="Arial" w:hAnsi="Arial" w:cs="Arial"/>
          <w:sz w:val="24"/>
          <w:szCs w:val="24"/>
          <w:lang w:val="en-US"/>
        </w:rPr>
      </w:pPr>
      <w:r w:rsidRPr="00BC6632">
        <w:rPr>
          <w:rFonts w:ascii="Arial" w:hAnsi="Arial" w:cs="Arial"/>
          <w:b/>
          <w:bCs/>
          <w:sz w:val="24"/>
          <w:szCs w:val="24"/>
          <w:lang w:val="en-US"/>
        </w:rPr>
        <w:t>5.2 Return from Missing</w:t>
      </w:r>
    </w:p>
    <w:p w14:paraId="1BDE1875" w14:textId="77777777" w:rsidR="00BC6632" w:rsidRPr="00BC6632" w:rsidRDefault="00BC6632" w:rsidP="00BC6632">
      <w:pPr>
        <w:spacing w:before="12" w:after="12" w:line="276" w:lineRule="auto"/>
        <w:ind w:left="360"/>
        <w:rPr>
          <w:rFonts w:ascii="Arial" w:hAnsi="Arial" w:cs="Arial"/>
          <w:sz w:val="24"/>
          <w:szCs w:val="24"/>
          <w:lang w:val="en-US"/>
        </w:rPr>
      </w:pPr>
    </w:p>
    <w:p w14:paraId="325D0417" w14:textId="77777777" w:rsidR="00BC6632" w:rsidRPr="00BC6632" w:rsidRDefault="00BC6632" w:rsidP="00BC6632">
      <w:pPr>
        <w:pStyle w:val="ListParagraph"/>
        <w:numPr>
          <w:ilvl w:val="0"/>
          <w:numId w:val="34"/>
        </w:numPr>
        <w:spacing w:before="12" w:after="12" w:line="276" w:lineRule="auto"/>
        <w:rPr>
          <w:rFonts w:ascii="Arial" w:hAnsi="Arial" w:cs="Arial"/>
          <w:sz w:val="24"/>
          <w:szCs w:val="24"/>
        </w:rPr>
      </w:pPr>
      <w:r w:rsidRPr="00BC6632">
        <w:rPr>
          <w:rFonts w:ascii="Arial" w:hAnsi="Arial" w:cs="Arial"/>
          <w:sz w:val="24"/>
          <w:szCs w:val="24"/>
        </w:rPr>
        <w:t xml:space="preserve">Return from Missing Interview requests, for those young people aged 13 and over, who are not already open to another practitioner, should be allocated to the AEH Units.  </w:t>
      </w:r>
    </w:p>
    <w:p w14:paraId="3572BA0D" w14:textId="77777777" w:rsidR="00BC6632" w:rsidRPr="00BC6632" w:rsidRDefault="00BC6632" w:rsidP="00BC6632">
      <w:pPr>
        <w:pStyle w:val="ListParagraph"/>
        <w:numPr>
          <w:ilvl w:val="0"/>
          <w:numId w:val="34"/>
        </w:numPr>
        <w:spacing w:before="12" w:after="12" w:line="276" w:lineRule="auto"/>
        <w:rPr>
          <w:rFonts w:ascii="Arial" w:hAnsi="Arial" w:cs="Arial"/>
          <w:sz w:val="24"/>
          <w:szCs w:val="24"/>
        </w:rPr>
      </w:pPr>
      <w:r w:rsidRPr="00BC6632">
        <w:rPr>
          <w:rFonts w:ascii="Arial" w:hAnsi="Arial" w:cs="Arial"/>
          <w:sz w:val="24"/>
          <w:szCs w:val="24"/>
        </w:rPr>
        <w:t xml:space="preserve">Return from Missing Interview requests, for those children aged 12 and under, who are not already open to another practitioner, should be sent to the Early Help Units.  This is based on the likely future relationship with services if ongoing intervention is required following the RI. </w:t>
      </w:r>
    </w:p>
    <w:p w14:paraId="0D585A72" w14:textId="77777777" w:rsidR="00BC6632" w:rsidRPr="00BC6632" w:rsidRDefault="00BC6632" w:rsidP="00BC6632">
      <w:pPr>
        <w:pStyle w:val="ListParagraph"/>
        <w:numPr>
          <w:ilvl w:val="0"/>
          <w:numId w:val="34"/>
        </w:numPr>
        <w:spacing w:before="12" w:after="12" w:line="276" w:lineRule="auto"/>
        <w:rPr>
          <w:rFonts w:ascii="Arial" w:hAnsi="Arial" w:cs="Arial"/>
          <w:sz w:val="24"/>
          <w:szCs w:val="24"/>
        </w:rPr>
      </w:pPr>
      <w:r w:rsidRPr="00BC6632">
        <w:rPr>
          <w:rFonts w:ascii="Arial" w:hAnsi="Arial" w:cs="Arial"/>
          <w:sz w:val="24"/>
          <w:szCs w:val="24"/>
        </w:rPr>
        <w:t xml:space="preserve">AEH Unit Leads should negotiate the completion of </w:t>
      </w:r>
      <w:proofErr w:type="spellStart"/>
      <w:r w:rsidRPr="00BC6632">
        <w:rPr>
          <w:rFonts w:ascii="Arial" w:hAnsi="Arial" w:cs="Arial"/>
          <w:sz w:val="24"/>
          <w:szCs w:val="24"/>
        </w:rPr>
        <w:t>Misper</w:t>
      </w:r>
      <w:proofErr w:type="spellEnd"/>
      <w:r w:rsidRPr="00BC6632">
        <w:rPr>
          <w:rFonts w:ascii="Arial" w:hAnsi="Arial" w:cs="Arial"/>
          <w:sz w:val="24"/>
          <w:szCs w:val="24"/>
        </w:rPr>
        <w:t xml:space="preserve"> RIs by Youth Services which are low risk and do not indicate a need for a level 3 or above Adolescent Practitioner.</w:t>
      </w:r>
    </w:p>
    <w:p w14:paraId="1192731A" w14:textId="77777777" w:rsidR="00BC6632" w:rsidRPr="00BC6632" w:rsidRDefault="00BC6632" w:rsidP="00BC6632">
      <w:pPr>
        <w:spacing w:before="12" w:after="12" w:line="276" w:lineRule="auto"/>
        <w:rPr>
          <w:rFonts w:ascii="Arial" w:hAnsi="Arial" w:cs="Arial"/>
          <w:sz w:val="24"/>
          <w:szCs w:val="24"/>
          <w:lang w:val="en-US"/>
        </w:rPr>
      </w:pPr>
    </w:p>
    <w:p w14:paraId="3A565BF3" w14:textId="77777777" w:rsidR="00BC6632" w:rsidRPr="00BC6632" w:rsidRDefault="00BC6632" w:rsidP="00BC6632">
      <w:pPr>
        <w:spacing w:before="12" w:after="12" w:line="276" w:lineRule="auto"/>
        <w:ind w:left="360"/>
        <w:rPr>
          <w:rFonts w:ascii="Arial" w:hAnsi="Arial" w:cs="Arial"/>
          <w:sz w:val="24"/>
          <w:szCs w:val="24"/>
          <w:lang w:val="en-US"/>
        </w:rPr>
      </w:pPr>
      <w:r w:rsidRPr="00BC6632">
        <w:rPr>
          <w:rFonts w:ascii="Arial" w:hAnsi="Arial" w:cs="Arial"/>
          <w:sz w:val="24"/>
          <w:szCs w:val="24"/>
          <w:lang w:val="en-US"/>
        </w:rPr>
        <w:t xml:space="preserve">The appropriate AEH Unit will undertake </w:t>
      </w:r>
      <w:proofErr w:type="gramStart"/>
      <w:r w:rsidRPr="00BC6632">
        <w:rPr>
          <w:rFonts w:ascii="Arial" w:hAnsi="Arial" w:cs="Arial"/>
          <w:sz w:val="24"/>
          <w:szCs w:val="24"/>
          <w:lang w:val="en-US"/>
        </w:rPr>
        <w:t>RI’s</w:t>
      </w:r>
      <w:proofErr w:type="gramEnd"/>
      <w:r w:rsidRPr="00BC6632">
        <w:rPr>
          <w:rFonts w:ascii="Arial" w:hAnsi="Arial" w:cs="Arial"/>
          <w:sz w:val="24"/>
          <w:szCs w:val="24"/>
          <w:lang w:val="en-US"/>
        </w:rPr>
        <w:t xml:space="preserve"> for those young people where the known facts of the missing episode, or the known case history, indicate a risk of CCE, CSE, extra familial risk, offending or significant ASB.  Examples (but not an exhaustive list) of missing concerns include:</w:t>
      </w:r>
    </w:p>
    <w:p w14:paraId="1E125943" w14:textId="77777777" w:rsidR="00BC6632" w:rsidRPr="00BC6632" w:rsidRDefault="00BC6632" w:rsidP="00BC6632">
      <w:pPr>
        <w:numPr>
          <w:ilvl w:val="0"/>
          <w:numId w:val="30"/>
        </w:numPr>
        <w:spacing w:before="12" w:after="12" w:line="276" w:lineRule="auto"/>
        <w:rPr>
          <w:rFonts w:ascii="Arial" w:hAnsi="Arial" w:cs="Arial"/>
          <w:sz w:val="24"/>
          <w:szCs w:val="24"/>
          <w:lang w:val="en-US"/>
        </w:rPr>
      </w:pPr>
      <w:r w:rsidRPr="00BC6632">
        <w:rPr>
          <w:rFonts w:ascii="Arial" w:hAnsi="Arial" w:cs="Arial"/>
          <w:sz w:val="24"/>
          <w:szCs w:val="24"/>
          <w:lang w:val="en-US"/>
        </w:rPr>
        <w:t>Frequent missing episodes (</w:t>
      </w:r>
      <w:proofErr w:type="gramStart"/>
      <w:r w:rsidRPr="00BC6632">
        <w:rPr>
          <w:rFonts w:ascii="Arial" w:hAnsi="Arial" w:cs="Arial"/>
          <w:sz w:val="24"/>
          <w:szCs w:val="24"/>
          <w:lang w:val="en-US"/>
        </w:rPr>
        <w:t>e.g.</w:t>
      </w:r>
      <w:proofErr w:type="gramEnd"/>
      <w:r w:rsidRPr="00BC6632">
        <w:rPr>
          <w:rFonts w:ascii="Arial" w:hAnsi="Arial" w:cs="Arial"/>
          <w:sz w:val="24"/>
          <w:szCs w:val="24"/>
          <w:lang w:val="en-US"/>
        </w:rPr>
        <w:t xml:space="preserve"> 3 or more missing episodes over a 6-week period)</w:t>
      </w:r>
    </w:p>
    <w:p w14:paraId="40F72CF7" w14:textId="77777777" w:rsidR="00BC6632" w:rsidRPr="00BC6632" w:rsidRDefault="00BC6632" w:rsidP="00BC6632">
      <w:pPr>
        <w:numPr>
          <w:ilvl w:val="0"/>
          <w:numId w:val="30"/>
        </w:numPr>
        <w:spacing w:before="12" w:after="12" w:line="276" w:lineRule="auto"/>
        <w:rPr>
          <w:rFonts w:ascii="Arial" w:hAnsi="Arial" w:cs="Arial"/>
          <w:sz w:val="24"/>
          <w:szCs w:val="24"/>
          <w:lang w:val="en-US"/>
        </w:rPr>
      </w:pPr>
      <w:r w:rsidRPr="00BC6632">
        <w:rPr>
          <w:rFonts w:ascii="Arial" w:hAnsi="Arial" w:cs="Arial"/>
          <w:sz w:val="24"/>
          <w:szCs w:val="24"/>
          <w:lang w:val="en-US"/>
        </w:rPr>
        <w:t>Lengthy missing episodes (over 24 hours)</w:t>
      </w:r>
    </w:p>
    <w:p w14:paraId="6584E076" w14:textId="77777777" w:rsidR="00BC6632" w:rsidRPr="00BC6632" w:rsidRDefault="00BC6632" w:rsidP="00BC6632">
      <w:pPr>
        <w:numPr>
          <w:ilvl w:val="0"/>
          <w:numId w:val="30"/>
        </w:numPr>
        <w:spacing w:before="12" w:after="12" w:line="276" w:lineRule="auto"/>
        <w:rPr>
          <w:rFonts w:ascii="Arial" w:hAnsi="Arial" w:cs="Arial"/>
          <w:sz w:val="24"/>
          <w:szCs w:val="24"/>
          <w:lang w:val="en-US"/>
        </w:rPr>
      </w:pPr>
      <w:r w:rsidRPr="00BC6632">
        <w:rPr>
          <w:rFonts w:ascii="Arial" w:hAnsi="Arial" w:cs="Arial"/>
          <w:sz w:val="24"/>
          <w:szCs w:val="24"/>
          <w:lang w:val="en-US"/>
        </w:rPr>
        <w:t xml:space="preserve">Multiple risk factors  </w:t>
      </w:r>
    </w:p>
    <w:p w14:paraId="35A3FBD0" w14:textId="77777777" w:rsidR="00BC6632" w:rsidRPr="00BC6632" w:rsidRDefault="00BC6632" w:rsidP="00BC6632">
      <w:pPr>
        <w:numPr>
          <w:ilvl w:val="0"/>
          <w:numId w:val="30"/>
        </w:numPr>
        <w:spacing w:before="12" w:after="12" w:line="276" w:lineRule="auto"/>
        <w:rPr>
          <w:rFonts w:ascii="Arial" w:hAnsi="Arial" w:cs="Arial"/>
          <w:sz w:val="24"/>
          <w:szCs w:val="24"/>
          <w:lang w:val="en-US"/>
        </w:rPr>
      </w:pPr>
      <w:r w:rsidRPr="00BC6632">
        <w:rPr>
          <w:rFonts w:ascii="Arial" w:hAnsi="Arial" w:cs="Arial"/>
          <w:sz w:val="24"/>
          <w:szCs w:val="24"/>
          <w:lang w:val="en-US"/>
        </w:rPr>
        <w:t xml:space="preserve">Distance they were found from family – e.g., out of </w:t>
      </w:r>
      <w:proofErr w:type="gramStart"/>
      <w:r w:rsidRPr="00BC6632">
        <w:rPr>
          <w:rFonts w:ascii="Arial" w:hAnsi="Arial" w:cs="Arial"/>
          <w:sz w:val="24"/>
          <w:szCs w:val="24"/>
          <w:lang w:val="en-US"/>
        </w:rPr>
        <w:t>county</w:t>
      </w:r>
      <w:proofErr w:type="gramEnd"/>
    </w:p>
    <w:p w14:paraId="6F003872" w14:textId="77777777" w:rsidR="00BC6632" w:rsidRPr="00BC6632" w:rsidRDefault="00BC6632" w:rsidP="00BC6632">
      <w:pPr>
        <w:numPr>
          <w:ilvl w:val="0"/>
          <w:numId w:val="30"/>
        </w:numPr>
        <w:spacing w:before="12" w:after="12" w:line="276" w:lineRule="auto"/>
        <w:rPr>
          <w:rFonts w:ascii="Arial" w:hAnsi="Arial" w:cs="Arial"/>
          <w:sz w:val="24"/>
          <w:szCs w:val="24"/>
          <w:lang w:val="en-US"/>
        </w:rPr>
      </w:pPr>
      <w:r w:rsidRPr="00BC6632">
        <w:rPr>
          <w:rFonts w:ascii="Arial" w:hAnsi="Arial" w:cs="Arial"/>
          <w:sz w:val="24"/>
          <w:szCs w:val="24"/>
          <w:lang w:val="en-US"/>
        </w:rPr>
        <w:t xml:space="preserve">Criminal exploitation, </w:t>
      </w:r>
      <w:proofErr w:type="gramStart"/>
      <w:r w:rsidRPr="00BC6632">
        <w:rPr>
          <w:rFonts w:ascii="Arial" w:hAnsi="Arial" w:cs="Arial"/>
          <w:sz w:val="24"/>
          <w:szCs w:val="24"/>
          <w:lang w:val="en-US"/>
        </w:rPr>
        <w:t>coercion</w:t>
      </w:r>
      <w:proofErr w:type="gramEnd"/>
      <w:r w:rsidRPr="00BC6632">
        <w:rPr>
          <w:rFonts w:ascii="Arial" w:hAnsi="Arial" w:cs="Arial"/>
          <w:sz w:val="24"/>
          <w:szCs w:val="24"/>
          <w:lang w:val="en-US"/>
        </w:rPr>
        <w:t xml:space="preserve"> and offending   </w:t>
      </w:r>
    </w:p>
    <w:p w14:paraId="76825E1A" w14:textId="77777777" w:rsidR="00BC6632" w:rsidRPr="00BC6632" w:rsidRDefault="00BC6632" w:rsidP="00BC6632">
      <w:pPr>
        <w:numPr>
          <w:ilvl w:val="0"/>
          <w:numId w:val="30"/>
        </w:numPr>
        <w:spacing w:before="12" w:after="12" w:line="276" w:lineRule="auto"/>
        <w:rPr>
          <w:rFonts w:ascii="Arial" w:hAnsi="Arial" w:cs="Arial"/>
          <w:sz w:val="24"/>
          <w:szCs w:val="24"/>
          <w:lang w:val="en-US"/>
        </w:rPr>
      </w:pPr>
      <w:r w:rsidRPr="00BC6632">
        <w:rPr>
          <w:rFonts w:ascii="Arial" w:hAnsi="Arial" w:cs="Arial"/>
          <w:sz w:val="24"/>
          <w:szCs w:val="24"/>
          <w:lang w:val="en-US"/>
        </w:rPr>
        <w:t xml:space="preserve">Health issues arising from episode (including substance misuse or injury)  </w:t>
      </w:r>
      <w:r w:rsidRPr="00BC6632">
        <w:rPr>
          <w:rFonts w:ascii="Arial" w:hAnsi="Arial" w:cs="Arial"/>
          <w:sz w:val="24"/>
          <w:szCs w:val="24"/>
          <w:lang w:val="en-US"/>
        </w:rPr>
        <w:br/>
      </w:r>
    </w:p>
    <w:p w14:paraId="026112D8" w14:textId="77777777" w:rsidR="00BC6632" w:rsidRPr="00BC6632" w:rsidRDefault="00BC6632" w:rsidP="00BC6632">
      <w:pPr>
        <w:spacing w:before="12" w:after="12" w:line="276" w:lineRule="auto"/>
        <w:ind w:left="426"/>
        <w:rPr>
          <w:rFonts w:ascii="Arial" w:hAnsi="Arial" w:cs="Arial"/>
          <w:sz w:val="24"/>
          <w:szCs w:val="24"/>
          <w:lang w:val="en-US"/>
        </w:rPr>
      </w:pPr>
      <w:r w:rsidRPr="00BC6632">
        <w:rPr>
          <w:rFonts w:ascii="Arial" w:hAnsi="Arial" w:cs="Arial"/>
          <w:sz w:val="24"/>
          <w:szCs w:val="24"/>
          <w:lang w:val="en-US"/>
        </w:rPr>
        <w:t xml:space="preserve">Young people who are being actively exploited and who are at such high risk that they need specific intervention to keep them safe should be considered for escalation to Level 4 (CSWS or ASWT). </w:t>
      </w:r>
    </w:p>
    <w:p w14:paraId="611CA4A2" w14:textId="77777777" w:rsidR="00BC6632" w:rsidRPr="00BC6632" w:rsidRDefault="00BC6632" w:rsidP="00BC6632">
      <w:pPr>
        <w:spacing w:before="12" w:after="12" w:line="276" w:lineRule="auto"/>
        <w:ind w:left="426"/>
        <w:rPr>
          <w:rFonts w:ascii="Arial" w:hAnsi="Arial" w:cs="Arial"/>
          <w:sz w:val="24"/>
          <w:szCs w:val="24"/>
          <w:lang w:val="en-US"/>
        </w:rPr>
      </w:pPr>
    </w:p>
    <w:p w14:paraId="22E4D597" w14:textId="77777777" w:rsidR="00BC6632" w:rsidRPr="00BC6632" w:rsidRDefault="00BC6632" w:rsidP="00BC6632">
      <w:pPr>
        <w:spacing w:before="12" w:after="12" w:line="276" w:lineRule="auto"/>
        <w:ind w:left="426"/>
        <w:rPr>
          <w:rFonts w:ascii="Arial" w:hAnsi="Arial" w:cs="Arial"/>
          <w:sz w:val="24"/>
          <w:szCs w:val="24"/>
          <w:lang w:val="en-US"/>
        </w:rPr>
      </w:pPr>
      <w:r w:rsidRPr="00BC6632">
        <w:rPr>
          <w:rFonts w:ascii="Arial" w:hAnsi="Arial" w:cs="Arial"/>
          <w:b/>
          <w:bCs/>
          <w:sz w:val="24"/>
          <w:szCs w:val="24"/>
          <w:lang w:val="en-US"/>
        </w:rPr>
        <w:t>5.3 Front Door and Step-Across referrals to Early Help</w:t>
      </w:r>
      <w:r w:rsidRPr="00BC6632">
        <w:rPr>
          <w:rFonts w:ascii="Arial" w:hAnsi="Arial" w:cs="Arial"/>
          <w:sz w:val="24"/>
          <w:szCs w:val="24"/>
          <w:lang w:val="en-US"/>
        </w:rPr>
        <w:br/>
        <w:t>Some examples (not an exhaustive list) of appropriate referrals for AEH Help include:</w:t>
      </w:r>
      <w:r w:rsidRPr="00BC6632">
        <w:rPr>
          <w:rFonts w:ascii="Arial" w:hAnsi="Arial" w:cs="Arial"/>
          <w:sz w:val="24"/>
          <w:szCs w:val="24"/>
          <w:lang w:val="en-US"/>
        </w:rPr>
        <w:br/>
      </w:r>
    </w:p>
    <w:p w14:paraId="3FE2BA34" w14:textId="77777777" w:rsidR="00BC6632" w:rsidRPr="00BC6632" w:rsidRDefault="00BC6632" w:rsidP="00BC6632">
      <w:pPr>
        <w:pStyle w:val="ListParagraph"/>
        <w:numPr>
          <w:ilvl w:val="0"/>
          <w:numId w:val="31"/>
        </w:numPr>
        <w:spacing w:before="12" w:after="12" w:line="276" w:lineRule="auto"/>
        <w:rPr>
          <w:rFonts w:ascii="Arial" w:eastAsia="Times New Roman" w:hAnsi="Arial" w:cs="Arial"/>
          <w:sz w:val="24"/>
          <w:szCs w:val="24"/>
          <w:lang w:eastAsia="en-GB"/>
        </w:rPr>
      </w:pPr>
      <w:r w:rsidRPr="00BC6632">
        <w:rPr>
          <w:rFonts w:ascii="Arial" w:eastAsia="Times New Roman" w:hAnsi="Arial" w:cs="Arial"/>
          <w:sz w:val="24"/>
          <w:szCs w:val="24"/>
          <w:lang w:eastAsia="en-GB"/>
        </w:rPr>
        <w:t xml:space="preserve">Prevention of family breakdown/homelessness – where there is evidence that family relationships need to be improved and/or without a targeted intervention the child may imminently become excluded from their family </w:t>
      </w:r>
      <w:proofErr w:type="gramStart"/>
      <w:r w:rsidRPr="00BC6632">
        <w:rPr>
          <w:rFonts w:ascii="Arial" w:eastAsia="Times New Roman" w:hAnsi="Arial" w:cs="Arial"/>
          <w:sz w:val="24"/>
          <w:szCs w:val="24"/>
          <w:lang w:eastAsia="en-GB"/>
        </w:rPr>
        <w:t>network</w:t>
      </w:r>
      <w:proofErr w:type="gramEnd"/>
    </w:p>
    <w:p w14:paraId="780E2724" w14:textId="77777777" w:rsidR="00BC6632" w:rsidRPr="00BC6632" w:rsidRDefault="00BC6632" w:rsidP="00BC6632">
      <w:pPr>
        <w:pStyle w:val="ListParagraph"/>
        <w:numPr>
          <w:ilvl w:val="0"/>
          <w:numId w:val="31"/>
        </w:numPr>
        <w:spacing w:before="12" w:after="12" w:line="276" w:lineRule="auto"/>
        <w:rPr>
          <w:rFonts w:ascii="Arial" w:hAnsi="Arial" w:cs="Arial"/>
          <w:sz w:val="24"/>
          <w:szCs w:val="24"/>
        </w:rPr>
      </w:pPr>
      <w:r w:rsidRPr="00BC6632">
        <w:rPr>
          <w:rFonts w:ascii="Arial" w:hAnsi="Arial" w:cs="Arial"/>
          <w:sz w:val="24"/>
          <w:szCs w:val="24"/>
        </w:rPr>
        <w:lastRenderedPageBreak/>
        <w:t>There is a likelihood that the child, will regularly be at contextual risk in settings outside of the family which may include being involved in a ‘group of concern’ (</w:t>
      </w:r>
      <w:proofErr w:type="gramStart"/>
      <w:r w:rsidRPr="00BC6632">
        <w:rPr>
          <w:rFonts w:ascii="Arial" w:hAnsi="Arial" w:cs="Arial"/>
          <w:sz w:val="24"/>
          <w:szCs w:val="24"/>
        </w:rPr>
        <w:t>e.g.</w:t>
      </w:r>
      <w:proofErr w:type="gramEnd"/>
      <w:r w:rsidRPr="00BC6632">
        <w:rPr>
          <w:rFonts w:ascii="Arial" w:hAnsi="Arial" w:cs="Arial"/>
          <w:sz w:val="24"/>
          <w:szCs w:val="24"/>
        </w:rPr>
        <w:t xml:space="preserve"> identified at DCSM).</w:t>
      </w:r>
    </w:p>
    <w:p w14:paraId="52009081" w14:textId="77777777" w:rsidR="00BC6632" w:rsidRPr="00BC6632" w:rsidRDefault="00BC6632" w:rsidP="00BC6632">
      <w:pPr>
        <w:pStyle w:val="ListParagraph"/>
        <w:numPr>
          <w:ilvl w:val="0"/>
          <w:numId w:val="31"/>
        </w:numPr>
        <w:spacing w:before="12" w:after="12" w:line="276" w:lineRule="auto"/>
        <w:rPr>
          <w:rFonts w:ascii="Arial" w:eastAsia="Times New Roman" w:hAnsi="Arial" w:cs="Arial"/>
          <w:sz w:val="24"/>
          <w:szCs w:val="24"/>
          <w:lang w:eastAsia="en-GB"/>
        </w:rPr>
      </w:pPr>
      <w:r w:rsidRPr="00BC6632">
        <w:rPr>
          <w:rFonts w:ascii="Arial" w:eastAsia="Times New Roman" w:hAnsi="Arial" w:cs="Arial"/>
          <w:sz w:val="24"/>
          <w:szCs w:val="24"/>
          <w:lang w:eastAsia="en-GB"/>
        </w:rPr>
        <w:t xml:space="preserve">Persistent Absence/Pattern of Exclusion - Often attendance and behaviour issues are underpinned by aspects of extra-familial risk or other </w:t>
      </w:r>
      <w:proofErr w:type="gramStart"/>
      <w:r w:rsidRPr="00BC6632">
        <w:rPr>
          <w:rFonts w:ascii="Arial" w:eastAsia="Times New Roman" w:hAnsi="Arial" w:cs="Arial"/>
          <w:sz w:val="24"/>
          <w:szCs w:val="24"/>
          <w:lang w:eastAsia="en-GB"/>
        </w:rPr>
        <w:t>high risk</w:t>
      </w:r>
      <w:proofErr w:type="gramEnd"/>
      <w:r w:rsidRPr="00BC6632">
        <w:rPr>
          <w:rFonts w:ascii="Arial" w:eastAsia="Times New Roman" w:hAnsi="Arial" w:cs="Arial"/>
          <w:sz w:val="24"/>
          <w:szCs w:val="24"/>
          <w:lang w:eastAsia="en-GB"/>
        </w:rPr>
        <w:t xml:space="preserve"> behaviours.  Liaison with Attendance &amp; Inclusion should continue to feature for all case holders where young people have issues relating to education attendance and engagement.</w:t>
      </w:r>
    </w:p>
    <w:p w14:paraId="7AB48B96" w14:textId="77777777" w:rsidR="00BC6632" w:rsidRPr="00BC6632" w:rsidRDefault="00BC6632" w:rsidP="00BC6632">
      <w:pPr>
        <w:pStyle w:val="ListParagraph"/>
        <w:numPr>
          <w:ilvl w:val="0"/>
          <w:numId w:val="31"/>
        </w:numPr>
        <w:spacing w:before="12" w:after="12" w:line="276" w:lineRule="auto"/>
        <w:rPr>
          <w:rFonts w:ascii="Arial" w:eastAsia="Times New Roman" w:hAnsi="Arial" w:cs="Arial"/>
          <w:sz w:val="24"/>
          <w:szCs w:val="24"/>
          <w:lang w:eastAsia="en-GB"/>
        </w:rPr>
      </w:pPr>
      <w:r w:rsidRPr="00BC6632">
        <w:rPr>
          <w:rFonts w:ascii="Arial" w:eastAsia="Times New Roman" w:hAnsi="Arial" w:cs="Arial"/>
          <w:sz w:val="24"/>
          <w:szCs w:val="24"/>
          <w:lang w:eastAsia="en-GB"/>
        </w:rPr>
        <w:t>Multiple adolescent risk factors</w:t>
      </w:r>
      <w:r w:rsidRPr="00BC6632">
        <w:rPr>
          <w:rFonts w:ascii="Arial" w:eastAsia="Times New Roman" w:hAnsi="Arial" w:cs="Arial"/>
          <w:sz w:val="24"/>
          <w:szCs w:val="24"/>
          <w:lang w:eastAsia="en-GB"/>
        </w:rPr>
        <w:br/>
        <w:t>-</w:t>
      </w:r>
      <w:proofErr w:type="gramStart"/>
      <w:r w:rsidRPr="00BC6632">
        <w:rPr>
          <w:rFonts w:ascii="Arial" w:eastAsia="Times New Roman" w:hAnsi="Arial" w:cs="Arial"/>
          <w:sz w:val="24"/>
          <w:szCs w:val="24"/>
          <w:lang w:eastAsia="en-GB"/>
        </w:rPr>
        <w:t>E.g.</w:t>
      </w:r>
      <w:proofErr w:type="gramEnd"/>
      <w:r w:rsidRPr="00BC6632">
        <w:rPr>
          <w:rFonts w:ascii="Arial" w:eastAsia="Times New Roman" w:hAnsi="Arial" w:cs="Arial"/>
          <w:sz w:val="24"/>
          <w:szCs w:val="24"/>
          <w:lang w:eastAsia="en-GB"/>
        </w:rPr>
        <w:t xml:space="preserve"> adolescent is NEET; substance misuser; poor relationships</w:t>
      </w:r>
    </w:p>
    <w:p w14:paraId="7B5BFAD1" w14:textId="77777777" w:rsidR="00BC6632" w:rsidRPr="00BC6632" w:rsidRDefault="00BC6632" w:rsidP="00BC6632">
      <w:pPr>
        <w:spacing w:before="12" w:after="12" w:line="276" w:lineRule="auto"/>
        <w:ind w:firstLine="720"/>
        <w:rPr>
          <w:rFonts w:ascii="Arial" w:hAnsi="Arial" w:cs="Arial"/>
          <w:sz w:val="24"/>
          <w:szCs w:val="24"/>
          <w:lang w:val="en-US"/>
        </w:rPr>
      </w:pPr>
      <w:r w:rsidRPr="00BC6632">
        <w:rPr>
          <w:rFonts w:ascii="Arial" w:hAnsi="Arial" w:cs="Arial"/>
          <w:sz w:val="24"/>
          <w:szCs w:val="24"/>
          <w:lang w:val="en-US"/>
        </w:rPr>
        <w:t>-extra familial harm is evidenced over a persistent period</w:t>
      </w:r>
    </w:p>
    <w:p w14:paraId="12B2118D" w14:textId="77777777" w:rsidR="00BC6632" w:rsidRPr="00BC6632" w:rsidRDefault="00BC6632" w:rsidP="00BC6632">
      <w:pPr>
        <w:spacing w:before="12" w:after="12" w:line="276" w:lineRule="auto"/>
        <w:ind w:left="720"/>
        <w:rPr>
          <w:rFonts w:ascii="Arial" w:hAnsi="Arial" w:cs="Arial"/>
          <w:sz w:val="24"/>
          <w:szCs w:val="24"/>
          <w:lang w:val="en-US"/>
        </w:rPr>
      </w:pPr>
      <w:r w:rsidRPr="00BC6632">
        <w:rPr>
          <w:rFonts w:ascii="Arial" w:hAnsi="Arial" w:cs="Arial"/>
          <w:sz w:val="24"/>
          <w:szCs w:val="24"/>
          <w:lang w:val="en-US"/>
        </w:rPr>
        <w:br/>
      </w:r>
    </w:p>
    <w:p w14:paraId="5457F7CF" w14:textId="77777777" w:rsidR="00BC6632" w:rsidRPr="00BC6632" w:rsidRDefault="00BC6632" w:rsidP="00BC6632">
      <w:pPr>
        <w:spacing w:before="12" w:after="12" w:line="276" w:lineRule="auto"/>
        <w:rPr>
          <w:rFonts w:ascii="Arial" w:hAnsi="Arial" w:cs="Arial"/>
          <w:sz w:val="24"/>
          <w:szCs w:val="24"/>
          <w:lang w:val="en-US"/>
        </w:rPr>
      </w:pPr>
      <w:r w:rsidRPr="00BC6632">
        <w:rPr>
          <w:rFonts w:ascii="Arial" w:hAnsi="Arial" w:cs="Arial"/>
          <w:b/>
          <w:bCs/>
          <w:sz w:val="24"/>
          <w:szCs w:val="24"/>
          <w:lang w:val="en-US"/>
        </w:rPr>
        <w:t>TRANSFER</w:t>
      </w:r>
      <w:r w:rsidRPr="00BC6632">
        <w:rPr>
          <w:rFonts w:ascii="Arial" w:hAnsi="Arial" w:cs="Arial"/>
          <w:sz w:val="24"/>
          <w:szCs w:val="24"/>
          <w:lang w:val="en-US"/>
        </w:rPr>
        <w:br/>
        <w:t xml:space="preserve">Professional conversations between Unit Leads can agree transfer of cases, where appropriate, between EH and AEH Units, where adolescent service criteria are </w:t>
      </w:r>
      <w:proofErr w:type="gramStart"/>
      <w:r w:rsidRPr="00BC6632">
        <w:rPr>
          <w:rFonts w:ascii="Arial" w:hAnsi="Arial" w:cs="Arial"/>
          <w:sz w:val="24"/>
          <w:szCs w:val="24"/>
          <w:lang w:val="en-US"/>
        </w:rPr>
        <w:t>met</w:t>
      </w:r>
      <w:proofErr w:type="gramEnd"/>
    </w:p>
    <w:p w14:paraId="4DCA92C5" w14:textId="77777777" w:rsidR="00BC6632" w:rsidRPr="00BC6632" w:rsidRDefault="00BC6632" w:rsidP="00BC6632">
      <w:pPr>
        <w:spacing w:before="12" w:after="12" w:line="276" w:lineRule="auto"/>
        <w:rPr>
          <w:rFonts w:ascii="Arial" w:hAnsi="Arial" w:cs="Arial"/>
          <w:sz w:val="24"/>
          <w:szCs w:val="24"/>
          <w:lang w:val="en-US"/>
        </w:rPr>
      </w:pPr>
    </w:p>
    <w:p w14:paraId="6F6D6FD9" w14:textId="77777777" w:rsidR="00BC6632" w:rsidRPr="00BC6632" w:rsidRDefault="00BC6632" w:rsidP="00BC6632">
      <w:pPr>
        <w:spacing w:before="12" w:after="12" w:line="276" w:lineRule="auto"/>
        <w:rPr>
          <w:rFonts w:ascii="Arial" w:hAnsi="Arial" w:cs="Arial"/>
          <w:b/>
          <w:bCs/>
          <w:sz w:val="24"/>
          <w:szCs w:val="24"/>
          <w:lang w:val="en-US"/>
        </w:rPr>
      </w:pPr>
      <w:r w:rsidRPr="00BC6632">
        <w:rPr>
          <w:rFonts w:ascii="Arial" w:hAnsi="Arial" w:cs="Arial"/>
          <w:b/>
          <w:bCs/>
          <w:sz w:val="24"/>
          <w:szCs w:val="24"/>
          <w:lang w:val="en-US"/>
        </w:rPr>
        <w:t>STEP ACROSS and STEP DOWN</w:t>
      </w:r>
    </w:p>
    <w:p w14:paraId="5468C155" w14:textId="77777777" w:rsidR="00BC6632" w:rsidRPr="00BC6632" w:rsidRDefault="00BC6632" w:rsidP="00BC6632">
      <w:pPr>
        <w:spacing w:before="12" w:after="12" w:line="276" w:lineRule="auto"/>
        <w:rPr>
          <w:rFonts w:ascii="Arial" w:hAnsi="Arial" w:cs="Arial"/>
          <w:sz w:val="24"/>
          <w:szCs w:val="24"/>
          <w:lang w:val="en-US"/>
        </w:rPr>
      </w:pPr>
      <w:r w:rsidRPr="00BC6632">
        <w:rPr>
          <w:rFonts w:ascii="Arial" w:hAnsi="Arial" w:cs="Arial"/>
          <w:sz w:val="24"/>
          <w:szCs w:val="24"/>
          <w:lang w:val="en-US"/>
        </w:rPr>
        <w:t xml:space="preserve">CSWS identifying step-across (cancellation of C&amp;F) and step-down (upon completion of C&amp;F) cases as being appropriate for AEH should liaise with the AEH unit lead in accordance with the step-across and step-down processes.  EH unit leads should </w:t>
      </w:r>
      <w:r w:rsidRPr="00BC6632">
        <w:rPr>
          <w:rFonts w:ascii="Arial" w:hAnsi="Arial" w:cs="Arial"/>
          <w:sz w:val="24"/>
          <w:szCs w:val="24"/>
          <w:u w:val="single"/>
          <w:lang w:val="en-US"/>
        </w:rPr>
        <w:t>not</w:t>
      </w:r>
      <w:r w:rsidRPr="00BC6632">
        <w:rPr>
          <w:rFonts w:ascii="Arial" w:hAnsi="Arial" w:cs="Arial"/>
          <w:sz w:val="24"/>
          <w:szCs w:val="24"/>
          <w:lang w:val="en-US"/>
        </w:rPr>
        <w:t xml:space="preserve"> accept these cases and then transfer them to AEH. </w:t>
      </w:r>
    </w:p>
    <w:p w14:paraId="51CDAA20" w14:textId="77777777" w:rsidR="00BC6632" w:rsidRPr="00BC6632" w:rsidRDefault="00BC6632" w:rsidP="00BC6632">
      <w:pPr>
        <w:spacing w:before="12" w:after="12" w:line="276" w:lineRule="auto"/>
        <w:rPr>
          <w:rFonts w:ascii="Arial" w:hAnsi="Arial" w:cs="Arial"/>
          <w:sz w:val="24"/>
          <w:szCs w:val="24"/>
          <w:lang w:val="en-US"/>
        </w:rPr>
      </w:pPr>
      <w:r w:rsidRPr="00BC6632">
        <w:rPr>
          <w:rFonts w:ascii="Arial" w:hAnsi="Arial" w:cs="Arial"/>
          <w:sz w:val="24"/>
          <w:szCs w:val="24"/>
          <w:lang w:val="en-US"/>
        </w:rPr>
        <w:t>Young people will sometimes have contact fortnightly or more than fortnightly. The expectation of intensive work is that it will respond flexibly to the needs of adolescents.</w:t>
      </w:r>
      <w:r w:rsidRPr="00BC6632">
        <w:rPr>
          <w:rFonts w:ascii="Arial" w:hAnsi="Arial" w:cs="Arial"/>
          <w:sz w:val="24"/>
          <w:szCs w:val="24"/>
          <w:lang w:val="en-US"/>
        </w:rPr>
        <w:br/>
        <w:t xml:space="preserve">The AEH Units will hold case numbers </w:t>
      </w:r>
      <w:proofErr w:type="gramStart"/>
      <w:r w:rsidRPr="00BC6632">
        <w:rPr>
          <w:rFonts w:ascii="Arial" w:hAnsi="Arial" w:cs="Arial"/>
          <w:sz w:val="24"/>
          <w:szCs w:val="24"/>
          <w:lang w:val="en-US"/>
        </w:rPr>
        <w:t>similar to</w:t>
      </w:r>
      <w:proofErr w:type="gramEnd"/>
      <w:r w:rsidRPr="00BC6632">
        <w:rPr>
          <w:rFonts w:ascii="Arial" w:hAnsi="Arial" w:cs="Arial"/>
          <w:sz w:val="24"/>
          <w:szCs w:val="24"/>
          <w:lang w:val="en-US"/>
        </w:rPr>
        <w:t xml:space="preserve"> their counterparts in the generic Early Help Units. </w:t>
      </w:r>
    </w:p>
    <w:p w14:paraId="5A047C11" w14:textId="77777777" w:rsidR="00BC6632" w:rsidRPr="00BC6632" w:rsidRDefault="00BC6632" w:rsidP="00BC6632">
      <w:pPr>
        <w:spacing w:before="12" w:after="12" w:line="276" w:lineRule="auto"/>
        <w:rPr>
          <w:rFonts w:ascii="Arial" w:hAnsi="Arial" w:cs="Arial"/>
          <w:sz w:val="24"/>
          <w:szCs w:val="24"/>
          <w:lang w:val="en-US"/>
        </w:rPr>
      </w:pPr>
      <w:r w:rsidRPr="00BC6632">
        <w:rPr>
          <w:rFonts w:ascii="Arial" w:hAnsi="Arial" w:cs="Arial"/>
          <w:sz w:val="24"/>
          <w:szCs w:val="24"/>
          <w:lang w:val="en-US"/>
        </w:rPr>
        <w:t xml:space="preserve">Likewise, they will take a whole-family approach, but will focus on </w:t>
      </w:r>
      <w:proofErr w:type="gramStart"/>
      <w:r w:rsidRPr="00BC6632">
        <w:rPr>
          <w:rFonts w:ascii="Arial" w:hAnsi="Arial" w:cs="Arial"/>
          <w:sz w:val="24"/>
          <w:szCs w:val="24"/>
          <w:lang w:val="en-US"/>
        </w:rPr>
        <w:t>work</w:t>
      </w:r>
      <w:proofErr w:type="gramEnd"/>
      <w:r w:rsidRPr="00BC6632">
        <w:rPr>
          <w:rFonts w:ascii="Arial" w:hAnsi="Arial" w:cs="Arial"/>
          <w:sz w:val="24"/>
          <w:szCs w:val="24"/>
          <w:lang w:val="en-US"/>
        </w:rPr>
        <w:t xml:space="preserve"> with the adolescent in a flexible way. </w:t>
      </w:r>
      <w:r w:rsidRPr="00BC6632">
        <w:rPr>
          <w:rFonts w:ascii="Arial" w:hAnsi="Arial" w:cs="Arial"/>
          <w:sz w:val="24"/>
          <w:szCs w:val="24"/>
          <w:lang w:val="en-US"/>
        </w:rPr>
        <w:br/>
      </w:r>
    </w:p>
    <w:p w14:paraId="79188E56" w14:textId="77777777" w:rsidR="00BC6632" w:rsidRPr="00BC6632" w:rsidRDefault="00BC6632" w:rsidP="00BC6632">
      <w:pPr>
        <w:spacing w:before="12" w:after="12" w:line="276" w:lineRule="auto"/>
        <w:rPr>
          <w:rFonts w:ascii="Arial" w:hAnsi="Arial" w:cs="Arial"/>
          <w:b/>
          <w:sz w:val="24"/>
          <w:szCs w:val="24"/>
          <w:lang w:val="en-US"/>
        </w:rPr>
      </w:pPr>
      <w:r w:rsidRPr="00BC6632">
        <w:rPr>
          <w:rFonts w:ascii="Arial" w:hAnsi="Arial" w:cs="Arial"/>
          <w:b/>
          <w:sz w:val="24"/>
          <w:szCs w:val="24"/>
          <w:lang w:val="en-US"/>
        </w:rPr>
        <w:t>7. ACCESS TO OTHER SERVICES</w:t>
      </w:r>
    </w:p>
    <w:p w14:paraId="3E19643D" w14:textId="77777777" w:rsidR="00BC6632" w:rsidRPr="00BC6632" w:rsidRDefault="00BC6632" w:rsidP="00BC6632">
      <w:pPr>
        <w:spacing w:before="12" w:after="12" w:line="276" w:lineRule="auto"/>
        <w:rPr>
          <w:rFonts w:ascii="Arial" w:hAnsi="Arial" w:cs="Arial"/>
          <w:sz w:val="24"/>
          <w:szCs w:val="24"/>
          <w:lang w:val="en-US"/>
        </w:rPr>
      </w:pPr>
      <w:r w:rsidRPr="00BC6632">
        <w:rPr>
          <w:rFonts w:ascii="Arial" w:hAnsi="Arial" w:cs="Arial"/>
          <w:b/>
          <w:bCs/>
          <w:sz w:val="24"/>
          <w:szCs w:val="24"/>
          <w:lang w:val="en-US"/>
        </w:rPr>
        <w:t xml:space="preserve">Youth Services and Children’s Centre Provision  </w:t>
      </w:r>
      <w:r w:rsidRPr="00BC6632">
        <w:rPr>
          <w:rFonts w:ascii="Arial" w:hAnsi="Arial" w:cs="Arial"/>
          <w:b/>
          <w:bCs/>
          <w:sz w:val="24"/>
          <w:szCs w:val="24"/>
          <w:lang w:val="en-US"/>
        </w:rPr>
        <w:br/>
      </w:r>
      <w:r w:rsidRPr="00BC6632">
        <w:rPr>
          <w:rFonts w:ascii="Arial" w:hAnsi="Arial" w:cs="Arial"/>
          <w:sz w:val="24"/>
          <w:szCs w:val="24"/>
          <w:lang w:val="en-US"/>
        </w:rPr>
        <w:t xml:space="preserve">All case holders across Integrated Adolescent Services and CSWS (including </w:t>
      </w:r>
      <w:proofErr w:type="spellStart"/>
      <w:r w:rsidRPr="00BC6632">
        <w:rPr>
          <w:rFonts w:ascii="Arial" w:hAnsi="Arial" w:cs="Arial"/>
          <w:sz w:val="24"/>
          <w:szCs w:val="24"/>
          <w:lang w:val="en-US"/>
        </w:rPr>
        <w:t>CiC</w:t>
      </w:r>
      <w:proofErr w:type="spellEnd"/>
      <w:r w:rsidRPr="00BC6632">
        <w:rPr>
          <w:rFonts w:ascii="Arial" w:hAnsi="Arial" w:cs="Arial"/>
          <w:sz w:val="24"/>
          <w:szCs w:val="24"/>
          <w:lang w:val="en-US"/>
        </w:rPr>
        <w:t>) should expect to access universal and, where appropriate, targeted Youth and Children’s Centre provision for their families. This includes accessing the parenting support offer.   Access to Universal and Targeted Youth Provision should be considered for all adolescents who are referred in at support levels 3 and 4.</w:t>
      </w:r>
    </w:p>
    <w:p w14:paraId="6F2760AF" w14:textId="77777777" w:rsidR="00BC6632" w:rsidRPr="00BC6632" w:rsidRDefault="00BC6632" w:rsidP="00BC6632">
      <w:pPr>
        <w:spacing w:before="12" w:after="12" w:line="276" w:lineRule="auto"/>
        <w:rPr>
          <w:rFonts w:ascii="Arial" w:hAnsi="Arial" w:cs="Arial"/>
          <w:sz w:val="24"/>
          <w:szCs w:val="24"/>
          <w:lang w:val="en-US"/>
        </w:rPr>
      </w:pPr>
      <w:r w:rsidRPr="00BC6632">
        <w:rPr>
          <w:rFonts w:ascii="Arial" w:hAnsi="Arial" w:cs="Arial"/>
          <w:sz w:val="24"/>
          <w:szCs w:val="24"/>
          <w:lang w:val="en-US"/>
        </w:rPr>
        <w:br/>
      </w:r>
      <w:r w:rsidRPr="00BC6632">
        <w:rPr>
          <w:rFonts w:ascii="Arial" w:hAnsi="Arial" w:cs="Arial"/>
          <w:b/>
          <w:bCs/>
          <w:sz w:val="24"/>
          <w:szCs w:val="24"/>
          <w:lang w:val="en-US"/>
        </w:rPr>
        <w:t>7.1 ADDITIONAL SUPPORT IN OPEN ACCESS</w:t>
      </w:r>
      <w:r w:rsidRPr="00BC6632">
        <w:rPr>
          <w:rFonts w:ascii="Arial" w:hAnsi="Arial" w:cs="Arial"/>
          <w:sz w:val="24"/>
          <w:szCs w:val="24"/>
          <w:lang w:val="en-US"/>
        </w:rPr>
        <w:br/>
        <w:t>Any requests for ‘</w:t>
      </w:r>
      <w:r w:rsidRPr="00BC6632">
        <w:rPr>
          <w:rFonts w:ascii="Arial" w:hAnsi="Arial" w:cs="Arial"/>
          <w:b/>
          <w:bCs/>
          <w:sz w:val="24"/>
          <w:szCs w:val="24"/>
          <w:lang w:val="en-US"/>
        </w:rPr>
        <w:t>Additional Support in Open Access’</w:t>
      </w:r>
      <w:r w:rsidRPr="00BC6632">
        <w:rPr>
          <w:rFonts w:ascii="Arial" w:hAnsi="Arial" w:cs="Arial"/>
          <w:sz w:val="24"/>
          <w:szCs w:val="24"/>
          <w:lang w:val="en-US"/>
        </w:rPr>
        <w:t xml:space="preserve"> should be discussed with the relevant Children’s Centre or Youth Service Delivery Manager.   Typically, Additional Support in Open Access is a bespoke intervention for up to 6 sessions, </w:t>
      </w:r>
      <w:r w:rsidRPr="00BC6632">
        <w:rPr>
          <w:rFonts w:ascii="Arial" w:hAnsi="Arial" w:cs="Arial"/>
          <w:sz w:val="24"/>
          <w:szCs w:val="24"/>
          <w:lang w:val="en-US"/>
        </w:rPr>
        <w:lastRenderedPageBreak/>
        <w:t xml:space="preserve">circa 8 weeks, with an adolescent (Youth team) or a parent and/or young child (Children’s Centre team).  Often, the aim of this intervention is to work towards engaging a child in universal or targeted groups. </w:t>
      </w:r>
      <w:r w:rsidRPr="00BC6632">
        <w:rPr>
          <w:rFonts w:ascii="Arial" w:hAnsi="Arial" w:cs="Arial"/>
          <w:sz w:val="24"/>
          <w:szCs w:val="24"/>
          <w:lang w:val="en-US"/>
        </w:rPr>
        <w:br/>
      </w:r>
      <w:r w:rsidRPr="00BC6632">
        <w:rPr>
          <w:rFonts w:ascii="Arial" w:hAnsi="Arial" w:cs="Arial"/>
          <w:sz w:val="24"/>
          <w:szCs w:val="24"/>
          <w:lang w:val="en-US"/>
        </w:rPr>
        <w:br/>
        <w:t xml:space="preserve">If longer term 1:1 additional support for adolescents is required, this should be discussed between the relevant Social Work Team Manager and the Open Access Delivery Manager. </w:t>
      </w:r>
    </w:p>
    <w:p w14:paraId="54B50253" w14:textId="77777777" w:rsidR="00BC6632" w:rsidRPr="00BC6632" w:rsidRDefault="00BC6632" w:rsidP="00BC6632">
      <w:pPr>
        <w:spacing w:before="12" w:after="12" w:line="276" w:lineRule="auto"/>
        <w:rPr>
          <w:rFonts w:ascii="Arial" w:hAnsi="Arial" w:cs="Arial"/>
          <w:sz w:val="24"/>
          <w:szCs w:val="24"/>
          <w:lang w:val="en-US"/>
        </w:rPr>
      </w:pPr>
    </w:p>
    <w:p w14:paraId="3F270198" w14:textId="77777777" w:rsidR="00BC6632" w:rsidRPr="00BC6632" w:rsidRDefault="00BC6632" w:rsidP="00BC6632">
      <w:pPr>
        <w:spacing w:before="12" w:after="12" w:line="276" w:lineRule="auto"/>
        <w:rPr>
          <w:rFonts w:ascii="Arial" w:hAnsi="Arial" w:cs="Arial"/>
          <w:sz w:val="24"/>
          <w:szCs w:val="24"/>
          <w:lang w:val="en-US"/>
        </w:rPr>
      </w:pPr>
      <w:r w:rsidRPr="00BC6632">
        <w:rPr>
          <w:rFonts w:ascii="Arial" w:hAnsi="Arial" w:cs="Arial"/>
          <w:b/>
          <w:bCs/>
          <w:sz w:val="24"/>
          <w:szCs w:val="24"/>
          <w:lang w:val="en-US"/>
        </w:rPr>
        <w:t>7.2</w:t>
      </w:r>
      <w:r w:rsidRPr="00BC6632">
        <w:rPr>
          <w:rFonts w:ascii="Arial" w:hAnsi="Arial" w:cs="Arial"/>
          <w:sz w:val="24"/>
          <w:szCs w:val="24"/>
          <w:lang w:val="en-US"/>
        </w:rPr>
        <w:t xml:space="preserve"> Liaison with </w:t>
      </w:r>
      <w:r w:rsidRPr="00BC6632">
        <w:rPr>
          <w:rFonts w:ascii="Arial" w:hAnsi="Arial" w:cs="Arial"/>
          <w:b/>
          <w:bCs/>
          <w:sz w:val="24"/>
          <w:szCs w:val="24"/>
          <w:lang w:val="en-US"/>
        </w:rPr>
        <w:t>Attendance &amp; Inclusion</w:t>
      </w:r>
      <w:r w:rsidRPr="00BC6632">
        <w:rPr>
          <w:rFonts w:ascii="Arial" w:hAnsi="Arial" w:cs="Arial"/>
          <w:sz w:val="24"/>
          <w:szCs w:val="24"/>
          <w:lang w:val="en-US"/>
        </w:rPr>
        <w:t xml:space="preserve"> should continue to feature for all case holders where young people have issues relating to </w:t>
      </w:r>
      <w:proofErr w:type="gramStart"/>
      <w:r w:rsidRPr="00BC6632">
        <w:rPr>
          <w:rFonts w:ascii="Arial" w:hAnsi="Arial" w:cs="Arial"/>
          <w:sz w:val="24"/>
          <w:szCs w:val="24"/>
          <w:lang w:val="en-US"/>
        </w:rPr>
        <w:t>education</w:t>
      </w:r>
      <w:proofErr w:type="gramEnd"/>
      <w:r w:rsidRPr="00BC6632">
        <w:rPr>
          <w:rFonts w:ascii="Arial" w:hAnsi="Arial" w:cs="Arial"/>
          <w:sz w:val="24"/>
          <w:szCs w:val="24"/>
          <w:lang w:val="en-US"/>
        </w:rPr>
        <w:t xml:space="preserve"> attendance and engagement, including missing education and exclusion. </w:t>
      </w:r>
    </w:p>
    <w:p w14:paraId="5674FD15" w14:textId="77777777" w:rsidR="00BC6632" w:rsidRPr="00BC6632" w:rsidRDefault="00BC6632" w:rsidP="00BC6632">
      <w:pPr>
        <w:spacing w:before="12" w:after="12" w:line="276" w:lineRule="auto"/>
        <w:rPr>
          <w:rFonts w:ascii="Arial" w:hAnsi="Arial" w:cs="Arial"/>
          <w:sz w:val="24"/>
          <w:szCs w:val="24"/>
          <w:lang w:val="en-US"/>
        </w:rPr>
      </w:pPr>
    </w:p>
    <w:p w14:paraId="611DF8CD" w14:textId="77777777" w:rsidR="00BC6632" w:rsidRPr="00BC6632" w:rsidRDefault="00BC6632" w:rsidP="00BC6632">
      <w:pPr>
        <w:spacing w:before="12" w:after="12" w:line="276" w:lineRule="auto"/>
        <w:rPr>
          <w:rFonts w:ascii="Arial" w:hAnsi="Arial" w:cs="Arial"/>
          <w:sz w:val="24"/>
          <w:szCs w:val="24"/>
          <w:lang w:val="en-US"/>
        </w:rPr>
      </w:pPr>
      <w:r w:rsidRPr="00BC6632">
        <w:rPr>
          <w:rFonts w:ascii="Arial" w:hAnsi="Arial" w:cs="Arial"/>
          <w:b/>
          <w:bCs/>
          <w:sz w:val="24"/>
          <w:szCs w:val="24"/>
          <w:lang w:val="en-US"/>
        </w:rPr>
        <w:t>7.3</w:t>
      </w:r>
      <w:r w:rsidRPr="00BC6632">
        <w:rPr>
          <w:rFonts w:ascii="Arial" w:hAnsi="Arial" w:cs="Arial"/>
          <w:sz w:val="24"/>
          <w:szCs w:val="24"/>
          <w:lang w:val="en-US"/>
        </w:rPr>
        <w:t xml:space="preserve"> Referrals should continue to be made to </w:t>
      </w:r>
      <w:r w:rsidRPr="00BC6632">
        <w:rPr>
          <w:rFonts w:ascii="Arial" w:hAnsi="Arial" w:cs="Arial"/>
          <w:b/>
          <w:bCs/>
          <w:sz w:val="24"/>
          <w:szCs w:val="24"/>
          <w:lang w:val="en-US"/>
        </w:rPr>
        <w:t xml:space="preserve">TEP </w:t>
      </w:r>
      <w:r w:rsidRPr="00BC6632">
        <w:rPr>
          <w:rFonts w:ascii="Arial" w:hAnsi="Arial" w:cs="Arial"/>
          <w:sz w:val="24"/>
          <w:szCs w:val="24"/>
          <w:lang w:val="en-US"/>
        </w:rPr>
        <w:t xml:space="preserve">for post-school aged young people who are not in employment, </w:t>
      </w:r>
      <w:proofErr w:type="gramStart"/>
      <w:r w:rsidRPr="00BC6632">
        <w:rPr>
          <w:rFonts w:ascii="Arial" w:hAnsi="Arial" w:cs="Arial"/>
          <w:sz w:val="24"/>
          <w:szCs w:val="24"/>
          <w:lang w:val="en-US"/>
        </w:rPr>
        <w:t>education</w:t>
      </w:r>
      <w:proofErr w:type="gramEnd"/>
      <w:r w:rsidRPr="00BC6632">
        <w:rPr>
          <w:rFonts w:ascii="Arial" w:hAnsi="Arial" w:cs="Arial"/>
          <w:sz w:val="24"/>
          <w:szCs w:val="24"/>
          <w:lang w:val="en-US"/>
        </w:rPr>
        <w:t xml:space="preserve"> or training. </w:t>
      </w:r>
    </w:p>
    <w:p w14:paraId="55DEB912" w14:textId="77777777" w:rsidR="00BC6632" w:rsidRPr="00BC6632" w:rsidRDefault="00BC6632" w:rsidP="00BC6632">
      <w:pPr>
        <w:spacing w:before="12" w:after="12" w:line="276" w:lineRule="auto"/>
        <w:rPr>
          <w:rFonts w:ascii="Arial" w:hAnsi="Arial" w:cs="Arial"/>
          <w:sz w:val="24"/>
          <w:szCs w:val="24"/>
          <w:lang w:val="en-US"/>
        </w:rPr>
      </w:pPr>
      <w:r w:rsidRPr="00BC6632">
        <w:rPr>
          <w:rFonts w:ascii="Arial" w:hAnsi="Arial" w:cs="Arial"/>
          <w:sz w:val="24"/>
          <w:szCs w:val="24"/>
          <w:lang w:val="en-US"/>
        </w:rPr>
        <w:br/>
      </w:r>
      <w:r w:rsidRPr="00BC6632">
        <w:rPr>
          <w:rFonts w:ascii="Arial" w:hAnsi="Arial" w:cs="Arial"/>
          <w:b/>
          <w:bCs/>
          <w:sz w:val="24"/>
          <w:szCs w:val="24"/>
          <w:lang w:val="en-US"/>
        </w:rPr>
        <w:t xml:space="preserve">7.4 </w:t>
      </w:r>
      <w:r w:rsidRPr="00BC6632">
        <w:rPr>
          <w:rFonts w:ascii="Arial" w:hAnsi="Arial" w:cs="Arial"/>
          <w:sz w:val="24"/>
          <w:szCs w:val="24"/>
          <w:lang w:val="en-US"/>
        </w:rPr>
        <w:t xml:space="preserve">Referrals to </w:t>
      </w:r>
      <w:r w:rsidRPr="00BC6632">
        <w:rPr>
          <w:rFonts w:ascii="Arial" w:hAnsi="Arial" w:cs="Arial"/>
          <w:b/>
          <w:bCs/>
          <w:sz w:val="24"/>
          <w:szCs w:val="24"/>
          <w:lang w:val="en-US"/>
        </w:rPr>
        <w:t>Emotional Well-being</w:t>
      </w:r>
      <w:r w:rsidRPr="00BC6632">
        <w:rPr>
          <w:rFonts w:ascii="Arial" w:hAnsi="Arial" w:cs="Arial"/>
          <w:sz w:val="24"/>
          <w:szCs w:val="24"/>
          <w:lang w:val="en-US"/>
        </w:rPr>
        <w:t xml:space="preserve"> including Head Start should continue to be considered for all cases where relevant and can be made directly by allocated practitioners. These referrals do not need to go via open access staff.</w:t>
      </w:r>
    </w:p>
    <w:p w14:paraId="5C6ED741" w14:textId="77777777" w:rsidR="00BC6632" w:rsidRPr="00BC6632" w:rsidRDefault="00BC6632" w:rsidP="00BC6632">
      <w:pPr>
        <w:spacing w:before="12" w:after="12" w:line="276" w:lineRule="auto"/>
        <w:rPr>
          <w:rFonts w:ascii="Arial" w:hAnsi="Arial" w:cs="Arial"/>
          <w:sz w:val="24"/>
          <w:szCs w:val="24"/>
        </w:rPr>
      </w:pPr>
    </w:p>
    <w:p w14:paraId="4DD23907" w14:textId="63F01A29" w:rsidR="00BC6632" w:rsidRPr="00BC6632" w:rsidRDefault="00BC6632" w:rsidP="00BC6632">
      <w:pPr>
        <w:spacing w:before="12" w:after="12" w:line="276" w:lineRule="auto"/>
        <w:rPr>
          <w:rFonts w:ascii="Arial" w:hAnsi="Arial" w:cs="Arial"/>
          <w:sz w:val="24"/>
          <w:szCs w:val="24"/>
        </w:rPr>
      </w:pPr>
      <w:r w:rsidRPr="00BC6632">
        <w:rPr>
          <w:rFonts w:ascii="Arial" w:hAnsi="Arial" w:cs="Arial"/>
          <w:sz w:val="24"/>
          <w:szCs w:val="24"/>
        </w:rPr>
        <w:t>___________________________________________________________________</w:t>
      </w:r>
    </w:p>
    <w:sectPr w:rsidR="00BC6632" w:rsidRPr="00BC6632" w:rsidSect="003F6C2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F006" w14:textId="77777777" w:rsidR="00EF318E" w:rsidRDefault="00EF318E" w:rsidP="006D7521">
      <w:pPr>
        <w:spacing w:after="0" w:line="240" w:lineRule="auto"/>
      </w:pPr>
      <w:r>
        <w:separator/>
      </w:r>
    </w:p>
  </w:endnote>
  <w:endnote w:type="continuationSeparator" w:id="0">
    <w:p w14:paraId="4F429D1C" w14:textId="77777777" w:rsidR="00EF318E" w:rsidRDefault="00EF318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351F2C40" w:rsidR="003839A6" w:rsidRPr="004141A4" w:rsidRDefault="003839A6" w:rsidP="003839A6">
        <w:pPr>
          <w:pStyle w:val="Footer"/>
          <w:rPr>
            <w:rFonts w:ascii="Arial" w:hAnsi="Arial" w:cs="Arial"/>
            <w:sz w:val="20"/>
            <w:szCs w:val="20"/>
          </w:rPr>
        </w:pPr>
      </w:p>
      <w:p w14:paraId="5A182636" w14:textId="77777777" w:rsidR="003839A6" w:rsidRDefault="003839A6"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A1E" w14:textId="77777777" w:rsidR="00EF318E" w:rsidRDefault="00EF318E" w:rsidP="006D7521">
      <w:pPr>
        <w:spacing w:after="0" w:line="240" w:lineRule="auto"/>
      </w:pPr>
      <w:r>
        <w:separator/>
      </w:r>
    </w:p>
  </w:footnote>
  <w:footnote w:type="continuationSeparator" w:id="0">
    <w:p w14:paraId="3D85CDA2" w14:textId="77777777" w:rsidR="00EF318E" w:rsidRDefault="00EF318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1D9C5775" w:rsidR="00B1509F" w:rsidRDefault="00BF0137">
    <w:pPr>
      <w:pStyle w:val="Header"/>
      <w:jc w:val="right"/>
    </w:pPr>
    <w:r>
      <w:rPr>
        <w:noProof/>
        <w:sz w:val="20"/>
        <w:szCs w:val="20"/>
      </w:rPr>
      <w:drawing>
        <wp:inline distT="0" distB="0" distL="0" distR="0" wp14:anchorId="11D3DFD3" wp14:editId="42C076F7">
          <wp:extent cx="890905" cy="580390"/>
          <wp:effectExtent l="0" t="0" r="4445" b="0"/>
          <wp:docPr id="13" name="Picture 13" descr="Kent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Kent County Council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90905" cy="580390"/>
                  </a:xfrm>
                  <a:prstGeom prst="rect">
                    <a:avLst/>
                  </a:prstGeom>
                </pic:spPr>
              </pic:pic>
            </a:graphicData>
          </a:graphic>
        </wp:inline>
      </w:drawing>
    </w:r>
  </w:p>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E6BCC"/>
    <w:multiLevelType w:val="hybridMultilevel"/>
    <w:tmpl w:val="8C261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E14B68"/>
    <w:multiLevelType w:val="hybridMultilevel"/>
    <w:tmpl w:val="1506E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1C1B5C40"/>
    <w:multiLevelType w:val="hybridMultilevel"/>
    <w:tmpl w:val="6B507E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0D21EE8"/>
    <w:multiLevelType w:val="hybridMultilevel"/>
    <w:tmpl w:val="4DB6A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7F510B"/>
    <w:multiLevelType w:val="hybridMultilevel"/>
    <w:tmpl w:val="A1C6D9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2923A3"/>
    <w:multiLevelType w:val="hybridMultilevel"/>
    <w:tmpl w:val="93F8150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D81222"/>
    <w:multiLevelType w:val="hybridMultilevel"/>
    <w:tmpl w:val="73562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E63D76"/>
    <w:multiLevelType w:val="hybridMultilevel"/>
    <w:tmpl w:val="4198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29"/>
  </w:num>
  <w:num w:numId="2" w16cid:durableId="1014192125">
    <w:abstractNumId w:val="8"/>
  </w:num>
  <w:num w:numId="3" w16cid:durableId="601227673">
    <w:abstractNumId w:val="15"/>
  </w:num>
  <w:num w:numId="4" w16cid:durableId="954556710">
    <w:abstractNumId w:val="25"/>
  </w:num>
  <w:num w:numId="5" w16cid:durableId="1306163592">
    <w:abstractNumId w:val="0"/>
  </w:num>
  <w:num w:numId="6" w16cid:durableId="1711801030">
    <w:abstractNumId w:val="27"/>
  </w:num>
  <w:num w:numId="7" w16cid:durableId="2050646501">
    <w:abstractNumId w:val="17"/>
  </w:num>
  <w:num w:numId="8" w16cid:durableId="1146437847">
    <w:abstractNumId w:val="9"/>
  </w:num>
  <w:num w:numId="9" w16cid:durableId="661543168">
    <w:abstractNumId w:val="11"/>
  </w:num>
  <w:num w:numId="10" w16cid:durableId="660891397">
    <w:abstractNumId w:val="3"/>
  </w:num>
  <w:num w:numId="11" w16cid:durableId="1508053471">
    <w:abstractNumId w:val="12"/>
  </w:num>
  <w:num w:numId="12" w16cid:durableId="1543860711">
    <w:abstractNumId w:val="31"/>
  </w:num>
  <w:num w:numId="13" w16cid:durableId="296881259">
    <w:abstractNumId w:val="6"/>
  </w:num>
  <w:num w:numId="14" w16cid:durableId="1140999198">
    <w:abstractNumId w:val="32"/>
  </w:num>
  <w:num w:numId="15" w16cid:durableId="368188829">
    <w:abstractNumId w:val="22"/>
  </w:num>
  <w:num w:numId="16" w16cid:durableId="1348366311">
    <w:abstractNumId w:val="1"/>
  </w:num>
  <w:num w:numId="17" w16cid:durableId="213659051">
    <w:abstractNumId w:val="14"/>
  </w:num>
  <w:num w:numId="18" w16cid:durableId="70466792">
    <w:abstractNumId w:val="18"/>
  </w:num>
  <w:num w:numId="19" w16cid:durableId="1892686901">
    <w:abstractNumId w:val="7"/>
  </w:num>
  <w:num w:numId="20" w16cid:durableId="65691097">
    <w:abstractNumId w:val="21"/>
  </w:num>
  <w:num w:numId="21" w16cid:durableId="822939423">
    <w:abstractNumId w:val="2"/>
  </w:num>
  <w:num w:numId="22" w16cid:durableId="1677420679">
    <w:abstractNumId w:val="34"/>
  </w:num>
  <w:num w:numId="23" w16cid:durableId="2066759420">
    <w:abstractNumId w:val="33"/>
  </w:num>
  <w:num w:numId="24" w16cid:durableId="937641439">
    <w:abstractNumId w:val="24"/>
  </w:num>
  <w:num w:numId="25" w16cid:durableId="1217206456">
    <w:abstractNumId w:val="26"/>
  </w:num>
  <w:num w:numId="26" w16cid:durableId="541089749">
    <w:abstractNumId w:val="20"/>
  </w:num>
  <w:num w:numId="27" w16cid:durableId="496267820">
    <w:abstractNumId w:val="16"/>
  </w:num>
  <w:num w:numId="28" w16cid:durableId="10134526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8223346">
    <w:abstractNumId w:val="28"/>
  </w:num>
  <w:num w:numId="30" w16cid:durableId="1529875600">
    <w:abstractNumId w:val="23"/>
  </w:num>
  <w:num w:numId="31" w16cid:durableId="609314814">
    <w:abstractNumId w:val="4"/>
  </w:num>
  <w:num w:numId="32" w16cid:durableId="1250847296">
    <w:abstractNumId w:val="19"/>
  </w:num>
  <w:num w:numId="33" w16cid:durableId="2011443048">
    <w:abstractNumId w:val="5"/>
  </w:num>
  <w:num w:numId="34" w16cid:durableId="1458184369">
    <w:abstractNumId w:val="13"/>
  </w:num>
  <w:num w:numId="35" w16cid:durableId="1847859879">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B5D20"/>
    <w:rsid w:val="000D32F3"/>
    <w:rsid w:val="000E1AE7"/>
    <w:rsid w:val="000E1D8A"/>
    <w:rsid w:val="000E6B8E"/>
    <w:rsid w:val="0010166E"/>
    <w:rsid w:val="00124CF9"/>
    <w:rsid w:val="00131C61"/>
    <w:rsid w:val="0017716D"/>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D18FF"/>
    <w:rsid w:val="002D36FA"/>
    <w:rsid w:val="002E005F"/>
    <w:rsid w:val="002E39A7"/>
    <w:rsid w:val="002E631B"/>
    <w:rsid w:val="002E6EA2"/>
    <w:rsid w:val="00304382"/>
    <w:rsid w:val="003214F7"/>
    <w:rsid w:val="003272DD"/>
    <w:rsid w:val="00332803"/>
    <w:rsid w:val="00334D88"/>
    <w:rsid w:val="003379F2"/>
    <w:rsid w:val="003468A5"/>
    <w:rsid w:val="00347134"/>
    <w:rsid w:val="00347B27"/>
    <w:rsid w:val="00361EC8"/>
    <w:rsid w:val="00362CC5"/>
    <w:rsid w:val="003839A6"/>
    <w:rsid w:val="00386A35"/>
    <w:rsid w:val="00390524"/>
    <w:rsid w:val="00390BC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71DD1"/>
    <w:rsid w:val="004801C9"/>
    <w:rsid w:val="00484CB2"/>
    <w:rsid w:val="004909F9"/>
    <w:rsid w:val="0049378F"/>
    <w:rsid w:val="004A0512"/>
    <w:rsid w:val="004A7726"/>
    <w:rsid w:val="004C4CD8"/>
    <w:rsid w:val="004C7817"/>
    <w:rsid w:val="004D3086"/>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5445"/>
    <w:rsid w:val="0060606F"/>
    <w:rsid w:val="00606FE6"/>
    <w:rsid w:val="00612596"/>
    <w:rsid w:val="00614B00"/>
    <w:rsid w:val="00630A26"/>
    <w:rsid w:val="006323C4"/>
    <w:rsid w:val="00634FB3"/>
    <w:rsid w:val="00640A8A"/>
    <w:rsid w:val="00657DFE"/>
    <w:rsid w:val="006665F0"/>
    <w:rsid w:val="006676E3"/>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5DA7"/>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E3377"/>
    <w:rsid w:val="008F4BD6"/>
    <w:rsid w:val="009038E4"/>
    <w:rsid w:val="00905C4B"/>
    <w:rsid w:val="009065E5"/>
    <w:rsid w:val="00914D99"/>
    <w:rsid w:val="0091739F"/>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376"/>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3332F"/>
    <w:rsid w:val="00B365E8"/>
    <w:rsid w:val="00B54621"/>
    <w:rsid w:val="00B667C8"/>
    <w:rsid w:val="00B66F26"/>
    <w:rsid w:val="00B70562"/>
    <w:rsid w:val="00B82DB0"/>
    <w:rsid w:val="00B93154"/>
    <w:rsid w:val="00B94B2C"/>
    <w:rsid w:val="00B959B8"/>
    <w:rsid w:val="00B96A71"/>
    <w:rsid w:val="00BA3E6A"/>
    <w:rsid w:val="00BA6D17"/>
    <w:rsid w:val="00BA7975"/>
    <w:rsid w:val="00BC6632"/>
    <w:rsid w:val="00BD11C5"/>
    <w:rsid w:val="00BD2092"/>
    <w:rsid w:val="00BD7C92"/>
    <w:rsid w:val="00BE1988"/>
    <w:rsid w:val="00BE423A"/>
    <w:rsid w:val="00BE4CFC"/>
    <w:rsid w:val="00BE6EF3"/>
    <w:rsid w:val="00BF0137"/>
    <w:rsid w:val="00BF3F17"/>
    <w:rsid w:val="00C044F8"/>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1F20"/>
    <w:rsid w:val="00CF2AC1"/>
    <w:rsid w:val="00D02B33"/>
    <w:rsid w:val="00D05579"/>
    <w:rsid w:val="00D13A7F"/>
    <w:rsid w:val="00D15CBB"/>
    <w:rsid w:val="00D16F09"/>
    <w:rsid w:val="00D25EE9"/>
    <w:rsid w:val="00D2732F"/>
    <w:rsid w:val="00D37F52"/>
    <w:rsid w:val="00D51DF3"/>
    <w:rsid w:val="00D524BC"/>
    <w:rsid w:val="00D56F74"/>
    <w:rsid w:val="00D65C69"/>
    <w:rsid w:val="00D9023D"/>
    <w:rsid w:val="00DB0C7F"/>
    <w:rsid w:val="00DB227F"/>
    <w:rsid w:val="00DC401A"/>
    <w:rsid w:val="00DC6356"/>
    <w:rsid w:val="00DE01C8"/>
    <w:rsid w:val="00DE4365"/>
    <w:rsid w:val="00DF2599"/>
    <w:rsid w:val="00DF38F5"/>
    <w:rsid w:val="00DF40F6"/>
    <w:rsid w:val="00E00A57"/>
    <w:rsid w:val="00E022CF"/>
    <w:rsid w:val="00E03127"/>
    <w:rsid w:val="00E10C5A"/>
    <w:rsid w:val="00E115A5"/>
    <w:rsid w:val="00E17D51"/>
    <w:rsid w:val="00E24F55"/>
    <w:rsid w:val="00E265D2"/>
    <w:rsid w:val="00E30484"/>
    <w:rsid w:val="00E328D7"/>
    <w:rsid w:val="00E33232"/>
    <w:rsid w:val="00E3339B"/>
    <w:rsid w:val="00E34CDB"/>
    <w:rsid w:val="00E37AB7"/>
    <w:rsid w:val="00E45AE1"/>
    <w:rsid w:val="00E57385"/>
    <w:rsid w:val="00E57EF7"/>
    <w:rsid w:val="00E60652"/>
    <w:rsid w:val="00E60B34"/>
    <w:rsid w:val="00E650A4"/>
    <w:rsid w:val="00E651AA"/>
    <w:rsid w:val="00E65A4E"/>
    <w:rsid w:val="00E6614D"/>
    <w:rsid w:val="00E77C1B"/>
    <w:rsid w:val="00E829CC"/>
    <w:rsid w:val="00E87F51"/>
    <w:rsid w:val="00EB5404"/>
    <w:rsid w:val="00EC19B4"/>
    <w:rsid w:val="00EE7C67"/>
    <w:rsid w:val="00EF318E"/>
    <w:rsid w:val="00F0107F"/>
    <w:rsid w:val="00F03840"/>
    <w:rsid w:val="00F23068"/>
    <w:rsid w:val="00F30D16"/>
    <w:rsid w:val="00F32941"/>
    <w:rsid w:val="00F4713C"/>
    <w:rsid w:val="00F53A79"/>
    <w:rsid w:val="00F90A61"/>
    <w:rsid w:val="00F9174B"/>
    <w:rsid w:val="00F95C11"/>
    <w:rsid w:val="00FA17BB"/>
    <w:rsid w:val="00FA6DB3"/>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632"/>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BC6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5</TotalTime>
  <Pages>9</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Sophie Stevens - CY SCS</cp:lastModifiedBy>
  <cp:revision>3</cp:revision>
  <dcterms:created xsi:type="dcterms:W3CDTF">2023-09-20T08:30:00Z</dcterms:created>
  <dcterms:modified xsi:type="dcterms:W3CDTF">2023-09-20T08:42:00Z</dcterms:modified>
</cp:coreProperties>
</file>