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70A4E" w14:textId="73D29EA6" w:rsidR="00996C38" w:rsidRDefault="00C97CB9" w:rsidP="00C0392D">
      <w:pPr>
        <w:rPr>
          <w:b/>
          <w:sz w:val="24"/>
          <w:szCs w:val="24"/>
        </w:rPr>
      </w:pPr>
      <w:r>
        <w:rPr>
          <w:b/>
          <w:sz w:val="24"/>
          <w:szCs w:val="24"/>
        </w:rPr>
        <w:t xml:space="preserve">Annex A </w:t>
      </w:r>
      <w:r w:rsidR="00996C38" w:rsidRPr="00996C38">
        <w:rPr>
          <w:b/>
          <w:sz w:val="24"/>
          <w:szCs w:val="24"/>
        </w:rPr>
        <w:t xml:space="preserve">Sexual Harassment and </w:t>
      </w:r>
      <w:r w:rsidR="00FF1EDD">
        <w:rPr>
          <w:b/>
          <w:sz w:val="24"/>
          <w:szCs w:val="24"/>
        </w:rPr>
        <w:t xml:space="preserve">Sexual </w:t>
      </w:r>
      <w:r w:rsidR="00996C38" w:rsidRPr="00996C38">
        <w:rPr>
          <w:b/>
          <w:sz w:val="24"/>
          <w:szCs w:val="24"/>
        </w:rPr>
        <w:t>Violence in Schools</w:t>
      </w:r>
      <w:r w:rsidR="008918AB">
        <w:rPr>
          <w:b/>
          <w:sz w:val="24"/>
          <w:szCs w:val="24"/>
        </w:rPr>
        <w:t xml:space="preserve"> &amp; Colleges</w:t>
      </w:r>
      <w:r w:rsidR="00996C38" w:rsidRPr="00996C38">
        <w:rPr>
          <w:b/>
          <w:sz w:val="24"/>
          <w:szCs w:val="24"/>
        </w:rPr>
        <w:t xml:space="preserve"> – Threshold Guidance</w:t>
      </w:r>
    </w:p>
    <w:p w14:paraId="3B570A4F" w14:textId="36D8FF73" w:rsidR="00FF1EDD" w:rsidRPr="00C0392D" w:rsidRDefault="00991E39" w:rsidP="00C0392D">
      <w:pPr>
        <w:widowControl w:val="0"/>
        <w:rPr>
          <w:bCs/>
          <w:sz w:val="20"/>
          <w:szCs w:val="20"/>
        </w:rPr>
      </w:pPr>
      <w:r w:rsidRPr="00C0392D">
        <w:rPr>
          <w:bCs/>
          <w:sz w:val="20"/>
          <w:szCs w:val="20"/>
        </w:rPr>
        <w:t>This document should be read in conjunction with the LSCP Sexual Harassment and Violence in Schools and Colleges Pathway and the LSCP Sending and Sharing of Nude Images in Schools and Colleges Pathway. This threshold document is bas</w:t>
      </w:r>
      <w:r w:rsidR="00CF4CC5" w:rsidRPr="00C0392D">
        <w:rPr>
          <w:bCs/>
          <w:sz w:val="20"/>
          <w:szCs w:val="20"/>
        </w:rPr>
        <w:t>e</w:t>
      </w:r>
      <w:r w:rsidRPr="00C0392D">
        <w:rPr>
          <w:bCs/>
          <w:sz w:val="20"/>
          <w:szCs w:val="20"/>
        </w:rPr>
        <w:t xml:space="preserve">d upon the </w:t>
      </w:r>
      <w:hyperlink r:id="rId7" w:history="1">
        <w:r w:rsidR="00CF4CC5" w:rsidRPr="00C0392D">
          <w:rPr>
            <w:rStyle w:val="Hyperlink"/>
            <w:rFonts w:cstheme="minorHAnsi"/>
            <w:bCs/>
            <w:sz w:val="20"/>
            <w:szCs w:val="20"/>
          </w:rPr>
          <w:t>Sexual Behaviours Traffic Light Tool</w:t>
        </w:r>
      </w:hyperlink>
      <w:r w:rsidR="001265E3" w:rsidRPr="00C0392D">
        <w:rPr>
          <w:rFonts w:cstheme="minorHAnsi"/>
          <w:bCs/>
          <w:color w:val="C0504D"/>
          <w:sz w:val="20"/>
          <w:szCs w:val="20"/>
        </w:rPr>
        <w:t xml:space="preserve">. </w:t>
      </w:r>
      <w:r w:rsidR="001265E3" w:rsidRPr="00C0392D">
        <w:rPr>
          <w:rFonts w:cstheme="minorHAnsi"/>
          <w:bCs/>
          <w:sz w:val="20"/>
          <w:szCs w:val="20"/>
        </w:rPr>
        <w:t>Any professionals using the LSCP Pathways</w:t>
      </w:r>
      <w:r w:rsidR="00187402" w:rsidRPr="00C0392D">
        <w:rPr>
          <w:rFonts w:cstheme="minorHAnsi"/>
          <w:bCs/>
          <w:sz w:val="20"/>
          <w:szCs w:val="20"/>
        </w:rPr>
        <w:t xml:space="preserve"> for guidance must ensure that their Brook training is up to date</w:t>
      </w:r>
      <w:r w:rsidR="00FF168C" w:rsidRPr="00C0392D">
        <w:rPr>
          <w:rFonts w:cstheme="minorHAnsi"/>
          <w:bCs/>
          <w:sz w:val="20"/>
          <w:szCs w:val="20"/>
        </w:rPr>
        <w:t xml:space="preserve"> more information can be found via </w:t>
      </w:r>
      <w:r w:rsidR="00187402" w:rsidRPr="00C0392D">
        <w:rPr>
          <w:rFonts w:cstheme="minorHAnsi"/>
          <w:bCs/>
          <w:sz w:val="20"/>
          <w:szCs w:val="20"/>
        </w:rPr>
        <w:t xml:space="preserve"> </w:t>
      </w:r>
      <w:hyperlink r:id="rId8" w:history="1">
        <w:r w:rsidR="00FF168C" w:rsidRPr="00C0392D">
          <w:rPr>
            <w:rStyle w:val="Hyperlink"/>
            <w:bCs/>
            <w:sz w:val="20"/>
            <w:szCs w:val="20"/>
          </w:rPr>
          <w:t>Lincolnshire Safeguarding Children Partnership Training</w:t>
        </w:r>
      </w:hyperlink>
      <w:r w:rsidR="00961B8E" w:rsidRPr="00C0392D">
        <w:rPr>
          <w:rFonts w:cstheme="minorHAnsi"/>
          <w:bCs/>
          <w:color w:val="C0504D"/>
          <w:sz w:val="20"/>
          <w:szCs w:val="20"/>
        </w:rPr>
        <w:t>.</w:t>
      </w:r>
      <w:r w:rsidR="00CF4CC5" w:rsidRPr="00C0392D">
        <w:rPr>
          <w:rFonts w:cstheme="minorHAnsi"/>
          <w:bCs/>
          <w:color w:val="C0504D"/>
          <w:sz w:val="20"/>
          <w:szCs w:val="20"/>
        </w:rPr>
        <w:t xml:space="preserve">                                     </w:t>
      </w:r>
      <w:r w:rsidR="00CF4CC5" w:rsidRPr="00C0392D">
        <w:rPr>
          <w:bCs/>
          <w:sz w:val="20"/>
          <w:szCs w:val="20"/>
        </w:rPr>
        <w:t xml:space="preserve">                                                  </w:t>
      </w:r>
    </w:p>
    <w:tbl>
      <w:tblPr>
        <w:tblStyle w:val="TableGrid"/>
        <w:tblW w:w="16225" w:type="dxa"/>
        <w:tblInd w:w="-304" w:type="dxa"/>
        <w:tblLook w:val="04A0" w:firstRow="1" w:lastRow="0" w:firstColumn="1" w:lastColumn="0" w:noHBand="0" w:noVBand="1"/>
      </w:tblPr>
      <w:tblGrid>
        <w:gridCol w:w="1663"/>
        <w:gridCol w:w="5244"/>
        <w:gridCol w:w="5244"/>
        <w:gridCol w:w="4074"/>
      </w:tblGrid>
      <w:tr w:rsidR="00C0392D" w14:paraId="3B570A54" w14:textId="77777777" w:rsidTr="00C0392D">
        <w:trPr>
          <w:trHeight w:val="498"/>
        </w:trPr>
        <w:tc>
          <w:tcPr>
            <w:tcW w:w="1663" w:type="dxa"/>
            <w:shd w:val="clear" w:color="auto" w:fill="BFBFBF" w:themeFill="background1" w:themeFillShade="BF"/>
          </w:tcPr>
          <w:p w14:paraId="3B570A50" w14:textId="77777777" w:rsidR="00996C38" w:rsidRPr="00B738B3" w:rsidRDefault="00996C38" w:rsidP="00B738B3">
            <w:pPr>
              <w:jc w:val="center"/>
              <w:rPr>
                <w:b/>
              </w:rPr>
            </w:pPr>
          </w:p>
        </w:tc>
        <w:tc>
          <w:tcPr>
            <w:tcW w:w="5244" w:type="dxa"/>
            <w:shd w:val="clear" w:color="auto" w:fill="BFBFBF" w:themeFill="background1" w:themeFillShade="BF"/>
            <w:vAlign w:val="center"/>
          </w:tcPr>
          <w:p w14:paraId="3B570A51" w14:textId="77777777" w:rsidR="00996C38" w:rsidRPr="00A27107" w:rsidRDefault="00996C38" w:rsidP="008918AB">
            <w:pPr>
              <w:jc w:val="center"/>
              <w:rPr>
                <w:b/>
                <w:sz w:val="20"/>
                <w:szCs w:val="20"/>
              </w:rPr>
            </w:pPr>
            <w:r w:rsidRPr="00A27107">
              <w:rPr>
                <w:b/>
                <w:sz w:val="20"/>
                <w:szCs w:val="20"/>
              </w:rPr>
              <w:t xml:space="preserve">Managed within </w:t>
            </w:r>
            <w:r w:rsidR="00BA11B7" w:rsidRPr="00A27107">
              <w:rPr>
                <w:b/>
                <w:sz w:val="20"/>
                <w:szCs w:val="20"/>
              </w:rPr>
              <w:t>School</w:t>
            </w:r>
            <w:r w:rsidR="008918AB" w:rsidRPr="00A27107">
              <w:rPr>
                <w:b/>
                <w:sz w:val="20"/>
                <w:szCs w:val="20"/>
              </w:rPr>
              <w:t>/College</w:t>
            </w:r>
          </w:p>
        </w:tc>
        <w:tc>
          <w:tcPr>
            <w:tcW w:w="5244" w:type="dxa"/>
            <w:shd w:val="clear" w:color="auto" w:fill="BFBFBF" w:themeFill="background1" w:themeFillShade="BF"/>
            <w:vAlign w:val="center"/>
          </w:tcPr>
          <w:p w14:paraId="27244570" w14:textId="77777777" w:rsidR="000A63F2" w:rsidRDefault="00996C38" w:rsidP="00B738B3">
            <w:pPr>
              <w:jc w:val="center"/>
              <w:rPr>
                <w:b/>
                <w:sz w:val="20"/>
                <w:szCs w:val="20"/>
              </w:rPr>
            </w:pPr>
            <w:r w:rsidRPr="00A27107">
              <w:rPr>
                <w:b/>
                <w:sz w:val="20"/>
                <w:szCs w:val="20"/>
              </w:rPr>
              <w:t>Early Help</w:t>
            </w:r>
            <w:r w:rsidR="00FF1EDD">
              <w:rPr>
                <w:b/>
                <w:sz w:val="20"/>
                <w:szCs w:val="20"/>
              </w:rPr>
              <w:t xml:space="preserve"> </w:t>
            </w:r>
          </w:p>
          <w:p w14:paraId="3B570A52" w14:textId="7EF89684" w:rsidR="00996C38" w:rsidRPr="00A27107" w:rsidRDefault="00996C38" w:rsidP="00B738B3">
            <w:pPr>
              <w:jc w:val="center"/>
              <w:rPr>
                <w:b/>
                <w:sz w:val="20"/>
                <w:szCs w:val="20"/>
              </w:rPr>
            </w:pPr>
          </w:p>
        </w:tc>
        <w:tc>
          <w:tcPr>
            <w:tcW w:w="4074" w:type="dxa"/>
            <w:shd w:val="clear" w:color="auto" w:fill="BFBFBF" w:themeFill="background1" w:themeFillShade="BF"/>
            <w:vAlign w:val="center"/>
          </w:tcPr>
          <w:p w14:paraId="3B570A53" w14:textId="77777777" w:rsidR="00996C38" w:rsidRPr="00A27107" w:rsidRDefault="00996C38" w:rsidP="00996C38">
            <w:pPr>
              <w:jc w:val="center"/>
              <w:rPr>
                <w:b/>
                <w:sz w:val="20"/>
                <w:szCs w:val="20"/>
              </w:rPr>
            </w:pPr>
            <w:r w:rsidRPr="00A27107">
              <w:rPr>
                <w:b/>
                <w:sz w:val="20"/>
                <w:szCs w:val="20"/>
              </w:rPr>
              <w:t>Social Care or Police Referral</w:t>
            </w:r>
          </w:p>
        </w:tc>
      </w:tr>
      <w:tr w:rsidR="00C0392D" w14:paraId="3B570A5D" w14:textId="77777777" w:rsidTr="00C0392D">
        <w:trPr>
          <w:trHeight w:val="498"/>
        </w:trPr>
        <w:tc>
          <w:tcPr>
            <w:tcW w:w="1663" w:type="dxa"/>
            <w:shd w:val="clear" w:color="auto" w:fill="BFBFBF" w:themeFill="background1" w:themeFillShade="BF"/>
          </w:tcPr>
          <w:p w14:paraId="3B570A55" w14:textId="77777777" w:rsidR="00A27107" w:rsidRPr="00A27107" w:rsidRDefault="00BA0FCC" w:rsidP="00C6612C">
            <w:pPr>
              <w:rPr>
                <w:b/>
                <w:sz w:val="20"/>
                <w:szCs w:val="20"/>
              </w:rPr>
            </w:pPr>
            <w:r w:rsidRPr="00A27107">
              <w:rPr>
                <w:b/>
                <w:sz w:val="20"/>
                <w:szCs w:val="20"/>
              </w:rPr>
              <w:t>Identification</w:t>
            </w:r>
          </w:p>
          <w:p w14:paraId="3B570A56" w14:textId="77777777" w:rsidR="00996C38" w:rsidRPr="00A27107" w:rsidRDefault="00996C38" w:rsidP="00A27107">
            <w:pPr>
              <w:jc w:val="center"/>
              <w:rPr>
                <w:sz w:val="20"/>
                <w:szCs w:val="20"/>
              </w:rPr>
            </w:pPr>
          </w:p>
        </w:tc>
        <w:tc>
          <w:tcPr>
            <w:tcW w:w="5244" w:type="dxa"/>
          </w:tcPr>
          <w:p w14:paraId="3B570A57" w14:textId="77777777" w:rsidR="00996C38" w:rsidRPr="00A27107" w:rsidRDefault="00BA11B7" w:rsidP="00BA0FCC">
            <w:pPr>
              <w:rPr>
                <w:sz w:val="20"/>
                <w:szCs w:val="20"/>
              </w:rPr>
            </w:pPr>
            <w:r w:rsidRPr="00A27107">
              <w:rPr>
                <w:sz w:val="20"/>
                <w:szCs w:val="20"/>
              </w:rPr>
              <w:t>Pupils</w:t>
            </w:r>
            <w:r w:rsidR="008918AB" w:rsidRPr="00A27107">
              <w:rPr>
                <w:sz w:val="20"/>
                <w:szCs w:val="20"/>
              </w:rPr>
              <w:t>/Students</w:t>
            </w:r>
            <w:r w:rsidR="00996C38" w:rsidRPr="00A27107">
              <w:rPr>
                <w:sz w:val="20"/>
                <w:szCs w:val="20"/>
              </w:rPr>
              <w:t xml:space="preserve"> identified as individual ‘amber’ behaviours using the Brook Toolkit to be supported appropriately around the behaviours.  </w:t>
            </w:r>
          </w:p>
        </w:tc>
        <w:tc>
          <w:tcPr>
            <w:tcW w:w="5244" w:type="dxa"/>
          </w:tcPr>
          <w:p w14:paraId="3B570A58" w14:textId="77777777" w:rsidR="00996C38" w:rsidRPr="00A27107" w:rsidRDefault="008918AB" w:rsidP="00BA0FCC">
            <w:pPr>
              <w:rPr>
                <w:sz w:val="20"/>
                <w:szCs w:val="20"/>
              </w:rPr>
            </w:pPr>
            <w:r w:rsidRPr="00A27107">
              <w:rPr>
                <w:sz w:val="20"/>
                <w:szCs w:val="20"/>
              </w:rPr>
              <w:t xml:space="preserve">Pupils/Students </w:t>
            </w:r>
            <w:r w:rsidR="00996C38" w:rsidRPr="00A27107">
              <w:rPr>
                <w:sz w:val="20"/>
                <w:szCs w:val="20"/>
              </w:rPr>
              <w:t xml:space="preserve">identified as having multiple or significant ‘amber’ behaviours using the Brook Toolkit to be supported around the cause of the behaviours.  </w:t>
            </w:r>
          </w:p>
        </w:tc>
        <w:tc>
          <w:tcPr>
            <w:tcW w:w="4074" w:type="dxa"/>
          </w:tcPr>
          <w:p w14:paraId="3B570A59" w14:textId="77777777" w:rsidR="00996C38" w:rsidRPr="00C0392D" w:rsidRDefault="008918AB" w:rsidP="00C6612C">
            <w:pPr>
              <w:rPr>
                <w:sz w:val="20"/>
                <w:szCs w:val="20"/>
              </w:rPr>
            </w:pPr>
            <w:r w:rsidRPr="00C0392D">
              <w:rPr>
                <w:sz w:val="20"/>
                <w:szCs w:val="20"/>
              </w:rPr>
              <w:t xml:space="preserve">Pupils/Students </w:t>
            </w:r>
            <w:r w:rsidR="00996C38" w:rsidRPr="00C0392D">
              <w:rPr>
                <w:sz w:val="20"/>
                <w:szCs w:val="20"/>
              </w:rPr>
              <w:t>identified as having multiple or significant ‘red’ behaviours using the Brook Toolkit.</w:t>
            </w:r>
          </w:p>
          <w:p w14:paraId="3B570A5A" w14:textId="77777777" w:rsidR="00996C38" w:rsidRPr="00C0392D" w:rsidRDefault="00996C38" w:rsidP="00C6612C">
            <w:pPr>
              <w:rPr>
                <w:sz w:val="20"/>
                <w:szCs w:val="20"/>
              </w:rPr>
            </w:pPr>
          </w:p>
          <w:p w14:paraId="3B570A5C" w14:textId="77777777" w:rsidR="00996C38" w:rsidRPr="00C0392D" w:rsidRDefault="00996C38" w:rsidP="00C0392D">
            <w:pPr>
              <w:rPr>
                <w:sz w:val="20"/>
                <w:szCs w:val="20"/>
              </w:rPr>
            </w:pPr>
          </w:p>
        </w:tc>
      </w:tr>
      <w:tr w:rsidR="00C0392D" w14:paraId="3B570A6B" w14:textId="77777777" w:rsidTr="00C0392D">
        <w:trPr>
          <w:trHeight w:val="2216"/>
        </w:trPr>
        <w:tc>
          <w:tcPr>
            <w:tcW w:w="1663" w:type="dxa"/>
            <w:shd w:val="clear" w:color="auto" w:fill="BFBFBF" w:themeFill="background1" w:themeFillShade="BF"/>
          </w:tcPr>
          <w:p w14:paraId="3B570A5E" w14:textId="77777777" w:rsidR="00996C38" w:rsidRPr="00A27107" w:rsidRDefault="00BA0FCC" w:rsidP="00C6612C">
            <w:pPr>
              <w:rPr>
                <w:b/>
                <w:sz w:val="20"/>
                <w:szCs w:val="20"/>
              </w:rPr>
            </w:pPr>
            <w:r w:rsidRPr="00A27107">
              <w:rPr>
                <w:b/>
                <w:sz w:val="20"/>
                <w:szCs w:val="20"/>
              </w:rPr>
              <w:t>Incident</w:t>
            </w:r>
          </w:p>
        </w:tc>
        <w:tc>
          <w:tcPr>
            <w:tcW w:w="5244" w:type="dxa"/>
          </w:tcPr>
          <w:p w14:paraId="3B570A5F" w14:textId="77777777" w:rsidR="00996C38" w:rsidRPr="00A27107" w:rsidRDefault="00996C38" w:rsidP="00BA0FCC">
            <w:pPr>
              <w:rPr>
                <w:sz w:val="20"/>
                <w:szCs w:val="20"/>
              </w:rPr>
            </w:pPr>
            <w:r w:rsidRPr="00A27107">
              <w:rPr>
                <w:sz w:val="20"/>
                <w:szCs w:val="20"/>
              </w:rPr>
              <w:t>One-off incidents of non-violent incidents where</w:t>
            </w:r>
            <w:r w:rsidR="00BA0FCC" w:rsidRPr="00A27107">
              <w:rPr>
                <w:sz w:val="20"/>
                <w:szCs w:val="20"/>
              </w:rPr>
              <w:t xml:space="preserve"> a </w:t>
            </w:r>
            <w:r w:rsidRPr="00A27107">
              <w:rPr>
                <w:sz w:val="20"/>
                <w:szCs w:val="20"/>
              </w:rPr>
              <w:t xml:space="preserve">crime has not been committed. </w:t>
            </w:r>
          </w:p>
        </w:tc>
        <w:tc>
          <w:tcPr>
            <w:tcW w:w="5244" w:type="dxa"/>
          </w:tcPr>
          <w:p w14:paraId="3B570A60" w14:textId="77777777" w:rsidR="008215F8" w:rsidRPr="00A27107" w:rsidRDefault="00996C38" w:rsidP="00BA0FCC">
            <w:pPr>
              <w:rPr>
                <w:sz w:val="20"/>
                <w:szCs w:val="20"/>
              </w:rPr>
            </w:pPr>
            <w:r w:rsidRPr="00A27107">
              <w:rPr>
                <w:sz w:val="20"/>
                <w:szCs w:val="20"/>
              </w:rPr>
              <w:t xml:space="preserve">One-off incidents of non-violent incidents where </w:t>
            </w:r>
            <w:r w:rsidR="00BA0FCC" w:rsidRPr="00A27107">
              <w:rPr>
                <w:sz w:val="20"/>
                <w:szCs w:val="20"/>
              </w:rPr>
              <w:t xml:space="preserve">a </w:t>
            </w:r>
            <w:r w:rsidRPr="00A27107">
              <w:rPr>
                <w:sz w:val="20"/>
                <w:szCs w:val="20"/>
              </w:rPr>
              <w:t>crime has not been committed or the police or social care see no role in the incident.  The victim and/or perpetrator may need identified support that is not part of the universal offer.</w:t>
            </w:r>
          </w:p>
          <w:p w14:paraId="3B570A61" w14:textId="77777777" w:rsidR="008215F8" w:rsidRPr="00A27107" w:rsidRDefault="008215F8" w:rsidP="008215F8">
            <w:pPr>
              <w:rPr>
                <w:sz w:val="20"/>
                <w:szCs w:val="20"/>
              </w:rPr>
            </w:pPr>
          </w:p>
          <w:p w14:paraId="3B570A62" w14:textId="77777777" w:rsidR="008215F8" w:rsidRPr="00A27107" w:rsidRDefault="008215F8" w:rsidP="008215F8">
            <w:pPr>
              <w:rPr>
                <w:sz w:val="20"/>
                <w:szCs w:val="20"/>
              </w:rPr>
            </w:pPr>
          </w:p>
          <w:p w14:paraId="3B570A63" w14:textId="77777777" w:rsidR="008215F8" w:rsidRPr="00A27107" w:rsidRDefault="008215F8" w:rsidP="008215F8">
            <w:pPr>
              <w:rPr>
                <w:sz w:val="20"/>
                <w:szCs w:val="20"/>
              </w:rPr>
            </w:pPr>
          </w:p>
          <w:p w14:paraId="3B570A64" w14:textId="77777777" w:rsidR="008215F8" w:rsidRPr="00A27107" w:rsidRDefault="008215F8" w:rsidP="008215F8">
            <w:pPr>
              <w:rPr>
                <w:sz w:val="20"/>
                <w:szCs w:val="20"/>
              </w:rPr>
            </w:pPr>
          </w:p>
          <w:p w14:paraId="3B570A65" w14:textId="77777777" w:rsidR="008215F8" w:rsidRPr="00A27107" w:rsidRDefault="008215F8" w:rsidP="008215F8">
            <w:pPr>
              <w:rPr>
                <w:sz w:val="20"/>
                <w:szCs w:val="20"/>
              </w:rPr>
            </w:pPr>
          </w:p>
          <w:p w14:paraId="3B570A66" w14:textId="77777777" w:rsidR="00996C38" w:rsidRPr="00A27107" w:rsidRDefault="00996C38" w:rsidP="008215F8">
            <w:pPr>
              <w:rPr>
                <w:sz w:val="20"/>
                <w:szCs w:val="20"/>
              </w:rPr>
            </w:pPr>
          </w:p>
        </w:tc>
        <w:tc>
          <w:tcPr>
            <w:tcW w:w="4074" w:type="dxa"/>
            <w:shd w:val="clear" w:color="auto" w:fill="auto"/>
          </w:tcPr>
          <w:p w14:paraId="3B570A67" w14:textId="77777777" w:rsidR="00996C38" w:rsidRPr="00A27107" w:rsidRDefault="00996C38" w:rsidP="00C6612C">
            <w:pPr>
              <w:rPr>
                <w:sz w:val="20"/>
                <w:szCs w:val="20"/>
              </w:rPr>
            </w:pPr>
            <w:r w:rsidRPr="00A27107">
              <w:rPr>
                <w:sz w:val="20"/>
                <w:szCs w:val="20"/>
              </w:rPr>
              <w:t>Where a young person has been harmed, is at risk of harm, or is in immediate danger, schools and colleges should make a referral to children’s social care.</w:t>
            </w:r>
          </w:p>
          <w:p w14:paraId="3B570A68" w14:textId="77777777" w:rsidR="00996C38" w:rsidRPr="00A27107" w:rsidRDefault="00996C38" w:rsidP="00C6612C">
            <w:pPr>
              <w:rPr>
                <w:sz w:val="20"/>
                <w:szCs w:val="20"/>
              </w:rPr>
            </w:pPr>
          </w:p>
          <w:p w14:paraId="25F8823F" w14:textId="2D170135" w:rsidR="00B97D90" w:rsidRPr="00A27107" w:rsidRDefault="00996C38" w:rsidP="00C6612C">
            <w:pPr>
              <w:rPr>
                <w:sz w:val="20"/>
                <w:szCs w:val="20"/>
              </w:rPr>
            </w:pPr>
            <w:r w:rsidRPr="00A27107">
              <w:rPr>
                <w:sz w:val="20"/>
                <w:szCs w:val="20"/>
              </w:rPr>
              <w:t>Where reported incidents of rape, assault by penetration or sexual assault is made, the police should be contacted.</w:t>
            </w:r>
          </w:p>
          <w:p w14:paraId="3B570A6A" w14:textId="77777777" w:rsidR="00996C38" w:rsidRPr="00A27107" w:rsidRDefault="00996C38" w:rsidP="00C6612C">
            <w:pPr>
              <w:rPr>
                <w:sz w:val="20"/>
                <w:szCs w:val="20"/>
              </w:rPr>
            </w:pPr>
          </w:p>
        </w:tc>
      </w:tr>
      <w:tr w:rsidR="00C0392D" w14:paraId="3B570A73" w14:textId="77777777" w:rsidTr="00C0392D">
        <w:trPr>
          <w:trHeight w:val="498"/>
        </w:trPr>
        <w:tc>
          <w:tcPr>
            <w:tcW w:w="1663" w:type="dxa"/>
            <w:shd w:val="clear" w:color="auto" w:fill="BFBFBF" w:themeFill="background1" w:themeFillShade="BF"/>
          </w:tcPr>
          <w:p w14:paraId="3B570A6C" w14:textId="77777777" w:rsidR="00996C38" w:rsidRPr="00A27107" w:rsidRDefault="00BA0FCC" w:rsidP="00C6612C">
            <w:pPr>
              <w:rPr>
                <w:b/>
                <w:sz w:val="20"/>
                <w:szCs w:val="20"/>
              </w:rPr>
            </w:pPr>
            <w:r w:rsidRPr="00A27107">
              <w:rPr>
                <w:b/>
                <w:sz w:val="20"/>
                <w:szCs w:val="20"/>
              </w:rPr>
              <w:t>Action/support</w:t>
            </w:r>
          </w:p>
        </w:tc>
        <w:tc>
          <w:tcPr>
            <w:tcW w:w="5244" w:type="dxa"/>
          </w:tcPr>
          <w:p w14:paraId="3B570A6D" w14:textId="291471DA" w:rsidR="00996C38" w:rsidRDefault="00BA11B7" w:rsidP="00996C38">
            <w:pPr>
              <w:rPr>
                <w:sz w:val="20"/>
                <w:szCs w:val="20"/>
              </w:rPr>
            </w:pPr>
            <w:r w:rsidRPr="00A27107">
              <w:rPr>
                <w:sz w:val="20"/>
                <w:szCs w:val="20"/>
              </w:rPr>
              <w:t>School</w:t>
            </w:r>
            <w:r w:rsidR="008918AB" w:rsidRPr="00A27107">
              <w:rPr>
                <w:sz w:val="20"/>
                <w:szCs w:val="20"/>
              </w:rPr>
              <w:t>/College</w:t>
            </w:r>
            <w:r w:rsidR="00996C38" w:rsidRPr="00A27107">
              <w:rPr>
                <w:sz w:val="20"/>
                <w:szCs w:val="20"/>
              </w:rPr>
              <w:t xml:space="preserve"> to support both the victim and perpetrator with their family through effective pastoral systems.</w:t>
            </w:r>
            <w:r w:rsidR="00BA0FCC" w:rsidRPr="00A27107">
              <w:rPr>
                <w:sz w:val="20"/>
                <w:szCs w:val="20"/>
              </w:rPr>
              <w:t xml:space="preserve"> Preventative education to be provided.</w:t>
            </w:r>
          </w:p>
          <w:p w14:paraId="10608513" w14:textId="61DDEB50" w:rsidR="00600FE3" w:rsidRDefault="00600FE3" w:rsidP="00996C38">
            <w:pPr>
              <w:rPr>
                <w:sz w:val="20"/>
                <w:szCs w:val="20"/>
              </w:rPr>
            </w:pPr>
          </w:p>
          <w:p w14:paraId="19994BDC" w14:textId="28FFEAB3" w:rsidR="00600FE3" w:rsidRPr="00A27107" w:rsidRDefault="00D32C63" w:rsidP="00996C38">
            <w:pPr>
              <w:rPr>
                <w:sz w:val="20"/>
                <w:szCs w:val="20"/>
              </w:rPr>
            </w:pPr>
            <w:hyperlink r:id="rId9" w:history="1">
              <w:r w:rsidR="00600FE3" w:rsidRPr="00A27107">
                <w:rPr>
                  <w:rStyle w:val="Hyperlink"/>
                  <w:sz w:val="20"/>
                  <w:szCs w:val="20"/>
                </w:rPr>
                <w:t>https://campaignresources.phe.gov.uk/schools/topics/rise-above/overview</w:t>
              </w:r>
            </w:hyperlink>
          </w:p>
          <w:p w14:paraId="3B570A6E" w14:textId="77777777" w:rsidR="00996C38" w:rsidRPr="00A27107" w:rsidRDefault="00996C38" w:rsidP="00C6612C">
            <w:pPr>
              <w:rPr>
                <w:sz w:val="20"/>
                <w:szCs w:val="20"/>
              </w:rPr>
            </w:pPr>
          </w:p>
        </w:tc>
        <w:tc>
          <w:tcPr>
            <w:tcW w:w="5244" w:type="dxa"/>
          </w:tcPr>
          <w:p w14:paraId="410DD81D" w14:textId="4E495A46" w:rsidR="00307F24" w:rsidRDefault="00307F24" w:rsidP="00C6612C">
            <w:pPr>
              <w:rPr>
                <w:sz w:val="20"/>
                <w:szCs w:val="20"/>
              </w:rPr>
            </w:pPr>
            <w:r>
              <w:rPr>
                <w:sz w:val="20"/>
                <w:szCs w:val="20"/>
              </w:rPr>
              <w:t xml:space="preserve">Where </w:t>
            </w:r>
            <w:r w:rsidR="00D679A5">
              <w:rPr>
                <w:sz w:val="20"/>
                <w:szCs w:val="20"/>
              </w:rPr>
              <w:t xml:space="preserve">additional </w:t>
            </w:r>
            <w:r>
              <w:rPr>
                <w:sz w:val="20"/>
                <w:szCs w:val="20"/>
              </w:rPr>
              <w:t xml:space="preserve">needs are identified an Early Help Assessment should be completed. </w:t>
            </w:r>
            <w:hyperlink r:id="rId10" w:tgtFrame="_blank" w:history="1">
              <w:r w:rsidR="00BA29A7" w:rsidRPr="00DA35AE">
                <w:rPr>
                  <w:rFonts w:eastAsia="Times New Roman" w:cstheme="minorHAnsi"/>
                  <w:b/>
                  <w:bCs/>
                  <w:color w:val="017BBA"/>
                  <w:sz w:val="20"/>
                  <w:szCs w:val="20"/>
                  <w:u w:val="single"/>
                  <w:lang w:eastAsia="en-GB"/>
                </w:rPr>
                <w:t>Early Help and Team Around the Child</w:t>
              </w:r>
            </w:hyperlink>
            <w:r w:rsidR="00DA35AE">
              <w:rPr>
                <w:rFonts w:eastAsia="Times New Roman" w:cstheme="minorHAnsi"/>
                <w:b/>
                <w:bCs/>
                <w:color w:val="017BBA"/>
                <w:sz w:val="20"/>
                <w:szCs w:val="20"/>
                <w:u w:val="single"/>
                <w:lang w:eastAsia="en-GB"/>
              </w:rPr>
              <w:t xml:space="preserve">. </w:t>
            </w:r>
          </w:p>
          <w:p w14:paraId="727EB226" w14:textId="77777777" w:rsidR="00307F24" w:rsidRDefault="00307F24" w:rsidP="00C6612C">
            <w:pPr>
              <w:rPr>
                <w:sz w:val="20"/>
                <w:szCs w:val="20"/>
              </w:rPr>
            </w:pPr>
          </w:p>
          <w:p w14:paraId="2957CDA0" w14:textId="77777777" w:rsidR="00C31CAA" w:rsidRDefault="00DA35AE" w:rsidP="00C6612C">
            <w:pPr>
              <w:rPr>
                <w:sz w:val="20"/>
                <w:szCs w:val="20"/>
              </w:rPr>
            </w:pPr>
            <w:r>
              <w:rPr>
                <w:sz w:val="20"/>
                <w:szCs w:val="20"/>
              </w:rPr>
              <w:t>Following initial investigation</w:t>
            </w:r>
            <w:r w:rsidR="001A02F9">
              <w:rPr>
                <w:sz w:val="20"/>
                <w:szCs w:val="20"/>
              </w:rPr>
              <w:t xml:space="preserve"> and immediate actions from Children’s Services, the young person may then be </w:t>
            </w:r>
            <w:r w:rsidR="00C31CAA">
              <w:rPr>
                <w:sz w:val="20"/>
                <w:szCs w:val="20"/>
              </w:rPr>
              <w:t xml:space="preserve">supported through Early Help processes. </w:t>
            </w:r>
          </w:p>
          <w:p w14:paraId="26FFF601" w14:textId="77777777" w:rsidR="00C31CAA" w:rsidRDefault="00C31CAA" w:rsidP="00C6612C">
            <w:pPr>
              <w:rPr>
                <w:sz w:val="20"/>
                <w:szCs w:val="20"/>
              </w:rPr>
            </w:pPr>
          </w:p>
          <w:p w14:paraId="3B570A6F" w14:textId="7CA772CB" w:rsidR="00996C38" w:rsidRDefault="00C31CAA" w:rsidP="00C6612C">
            <w:pPr>
              <w:rPr>
                <w:sz w:val="20"/>
                <w:szCs w:val="20"/>
              </w:rPr>
            </w:pPr>
            <w:r>
              <w:rPr>
                <w:sz w:val="20"/>
                <w:szCs w:val="20"/>
              </w:rPr>
              <w:t>Early help should provide the following: o</w:t>
            </w:r>
            <w:r w:rsidR="00996C38" w:rsidRPr="00A27107">
              <w:rPr>
                <w:sz w:val="20"/>
                <w:szCs w:val="20"/>
              </w:rPr>
              <w:t>n-going targeted support following police or social care involvement for either the victim or perpetrator which may involve access to counselling, targeted youth, youth offending or community action services.</w:t>
            </w:r>
            <w:r w:rsidR="00BA0FCC" w:rsidRPr="00A27107">
              <w:rPr>
                <w:sz w:val="20"/>
                <w:szCs w:val="20"/>
              </w:rPr>
              <w:t xml:space="preserve"> Preventative education to be provided.</w:t>
            </w:r>
          </w:p>
          <w:p w14:paraId="3B570A70" w14:textId="77777777" w:rsidR="008215F8" w:rsidRPr="00A27107" w:rsidRDefault="008215F8" w:rsidP="00C6612C">
            <w:pPr>
              <w:rPr>
                <w:sz w:val="20"/>
                <w:szCs w:val="20"/>
              </w:rPr>
            </w:pPr>
          </w:p>
          <w:p w14:paraId="3B570A71" w14:textId="669617D5" w:rsidR="008215F8" w:rsidRPr="00A27107" w:rsidRDefault="008215F8" w:rsidP="00C6612C">
            <w:pPr>
              <w:rPr>
                <w:sz w:val="20"/>
                <w:szCs w:val="20"/>
              </w:rPr>
            </w:pPr>
          </w:p>
        </w:tc>
        <w:tc>
          <w:tcPr>
            <w:tcW w:w="4074" w:type="dxa"/>
          </w:tcPr>
          <w:p w14:paraId="3FD01AAC" w14:textId="3540F9DF" w:rsidR="00996C38" w:rsidRDefault="00C95E03" w:rsidP="00C6612C">
            <w:pPr>
              <w:rPr>
                <w:sz w:val="20"/>
                <w:szCs w:val="20"/>
              </w:rPr>
            </w:pPr>
            <w:r>
              <w:rPr>
                <w:sz w:val="20"/>
                <w:szCs w:val="20"/>
              </w:rPr>
              <w:t xml:space="preserve">Children’s Services </w:t>
            </w:r>
            <w:r w:rsidR="00BA0FCC" w:rsidRPr="00A27107">
              <w:rPr>
                <w:sz w:val="20"/>
                <w:szCs w:val="20"/>
              </w:rPr>
              <w:t>and police</w:t>
            </w:r>
            <w:r w:rsidR="00845A6D" w:rsidRPr="00A27107">
              <w:rPr>
                <w:sz w:val="20"/>
                <w:szCs w:val="20"/>
              </w:rPr>
              <w:t xml:space="preserve"> to undertake assessments to decide what actions and statutory interventions need to be undertaken. </w:t>
            </w:r>
          </w:p>
          <w:p w14:paraId="55AEC063" w14:textId="77777777" w:rsidR="00E05A0E" w:rsidRDefault="00E05A0E" w:rsidP="00C6612C">
            <w:pPr>
              <w:rPr>
                <w:sz w:val="20"/>
                <w:szCs w:val="20"/>
              </w:rPr>
            </w:pPr>
          </w:p>
          <w:p w14:paraId="3B570A72" w14:textId="7F25AB5D" w:rsidR="00E05A0E" w:rsidRPr="00A27107" w:rsidRDefault="00E05A0E" w:rsidP="00C6612C">
            <w:pPr>
              <w:rPr>
                <w:sz w:val="20"/>
                <w:szCs w:val="20"/>
              </w:rPr>
            </w:pPr>
            <w:r>
              <w:rPr>
                <w:sz w:val="20"/>
                <w:szCs w:val="20"/>
              </w:rPr>
              <w:t xml:space="preserve">Any interventions </w:t>
            </w:r>
            <w:r w:rsidRPr="00A438B7">
              <w:rPr>
                <w:sz w:val="20"/>
                <w:szCs w:val="20"/>
              </w:rPr>
              <w:t xml:space="preserve">will be co-ordinated as per the LSCP </w:t>
            </w:r>
            <w:hyperlink r:id="rId11" w:history="1">
              <w:r w:rsidRPr="00A438B7">
                <w:rPr>
                  <w:rStyle w:val="Hyperlink"/>
                  <w:sz w:val="20"/>
                  <w:szCs w:val="20"/>
                </w:rPr>
                <w:t> Children and Young People who Display Sexually Inappropriate or Harmful Behaviours Policy</w:t>
              </w:r>
            </w:hyperlink>
          </w:p>
        </w:tc>
      </w:tr>
    </w:tbl>
    <w:p w14:paraId="7A46A3DE" w14:textId="01A3523F" w:rsidR="00F05E59" w:rsidRPr="00972060" w:rsidRDefault="00F05E59" w:rsidP="00F05E59">
      <w:pPr>
        <w:pStyle w:val="NoSpacing"/>
        <w:rPr>
          <w:sz w:val="20"/>
          <w:szCs w:val="20"/>
        </w:rPr>
      </w:pPr>
      <w:r>
        <w:t xml:space="preserve">Further information can be found via </w:t>
      </w:r>
      <w:hyperlink r:id="rId12" w:history="1">
        <w:r w:rsidRPr="00972060">
          <w:rPr>
            <w:rStyle w:val="Hyperlink"/>
            <w:sz w:val="20"/>
            <w:szCs w:val="20"/>
          </w:rPr>
          <w:t xml:space="preserve">DfE  Keeping children safe in education </w:t>
        </w:r>
      </w:hyperlink>
      <w:r>
        <w:rPr>
          <w:sz w:val="20"/>
          <w:szCs w:val="20"/>
        </w:rPr>
        <w:t xml:space="preserve">and </w:t>
      </w:r>
      <w:hyperlink r:id="rId13" w:history="1">
        <w:r w:rsidR="00274C66" w:rsidRPr="00274C66">
          <w:rPr>
            <w:rStyle w:val="Hyperlink"/>
            <w:sz w:val="20"/>
            <w:szCs w:val="20"/>
          </w:rPr>
          <w:t>DfE Sexual violence and sexual harassment between children in schools and colleges</w:t>
        </w:r>
        <w:r w:rsidR="00274C66">
          <w:rPr>
            <w:rStyle w:val="Hyperlink"/>
          </w:rPr>
          <w:t xml:space="preserve"> </w:t>
        </w:r>
      </w:hyperlink>
    </w:p>
    <w:p w14:paraId="3B570A74" w14:textId="5CB9AAD2" w:rsidR="00845A6D" w:rsidRDefault="00845A6D"/>
    <w:sectPr w:rsidR="00845A6D" w:rsidSect="00C0392D">
      <w:headerReference w:type="even" r:id="rId14"/>
      <w:headerReference w:type="default" r:id="rId15"/>
      <w:footerReference w:type="even" r:id="rId16"/>
      <w:footerReference w:type="default" r:id="rId17"/>
      <w:headerReference w:type="first" r:id="rId18"/>
      <w:footerReference w:type="first" r:id="rId1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67AF" w14:textId="77777777" w:rsidR="00D32C63" w:rsidRDefault="00D32C63" w:rsidP="00845A6D">
      <w:pPr>
        <w:spacing w:after="0" w:line="240" w:lineRule="auto"/>
      </w:pPr>
      <w:r>
        <w:separator/>
      </w:r>
    </w:p>
  </w:endnote>
  <w:endnote w:type="continuationSeparator" w:id="0">
    <w:p w14:paraId="13205B08" w14:textId="77777777" w:rsidR="00D32C63" w:rsidRDefault="00D32C63" w:rsidP="00845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BB616" w14:textId="77777777" w:rsidR="00C0392D" w:rsidRDefault="00C03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0A7A" w14:textId="258BFD72" w:rsidR="00845A6D" w:rsidRDefault="00845A6D">
    <w:pPr>
      <w:pStyle w:val="Footer"/>
    </w:pPr>
    <w:r>
      <w:ptab w:relativeTo="margin" w:alignment="center" w:leader="none"/>
    </w:r>
    <w:r>
      <w:ptab w:relativeTo="margin" w:alignment="right" w:leader="none"/>
    </w:r>
    <w:r w:rsidR="00FF4FFC">
      <w:t>Version 1.</w:t>
    </w:r>
    <w:r w:rsidR="00B95E68">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21B1" w14:textId="77777777" w:rsidR="00C0392D" w:rsidRDefault="00C039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C149D" w14:textId="77777777" w:rsidR="00D32C63" w:rsidRDefault="00D32C63" w:rsidP="00845A6D">
      <w:pPr>
        <w:spacing w:after="0" w:line="240" w:lineRule="auto"/>
      </w:pPr>
      <w:r>
        <w:separator/>
      </w:r>
    </w:p>
  </w:footnote>
  <w:footnote w:type="continuationSeparator" w:id="0">
    <w:p w14:paraId="01B2E654" w14:textId="77777777" w:rsidR="00D32C63" w:rsidRDefault="00D32C63" w:rsidP="00845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1890" w14:textId="77777777" w:rsidR="00C0392D" w:rsidRDefault="00C039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0A79" w14:textId="271D2E75" w:rsidR="00FF4FFC" w:rsidRDefault="00FF4FFC">
    <w:pPr>
      <w:pStyle w:val="Header"/>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03749" w14:textId="77777777" w:rsidR="00C0392D" w:rsidRDefault="00C03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82E"/>
    <w:multiLevelType w:val="hybridMultilevel"/>
    <w:tmpl w:val="94B4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926C0A"/>
    <w:multiLevelType w:val="hybridMultilevel"/>
    <w:tmpl w:val="2C54D8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8B3"/>
    <w:rsid w:val="000A63F2"/>
    <w:rsid w:val="001265E3"/>
    <w:rsid w:val="00187402"/>
    <w:rsid w:val="001A02F9"/>
    <w:rsid w:val="001D5A80"/>
    <w:rsid w:val="00245B09"/>
    <w:rsid w:val="00274C66"/>
    <w:rsid w:val="00307F24"/>
    <w:rsid w:val="00523AF1"/>
    <w:rsid w:val="005D391C"/>
    <w:rsid w:val="00600FE3"/>
    <w:rsid w:val="00603FE5"/>
    <w:rsid w:val="0064754C"/>
    <w:rsid w:val="00687410"/>
    <w:rsid w:val="006B6D6B"/>
    <w:rsid w:val="007000A0"/>
    <w:rsid w:val="008215F8"/>
    <w:rsid w:val="00845A6D"/>
    <w:rsid w:val="00851432"/>
    <w:rsid w:val="008918AB"/>
    <w:rsid w:val="00961B8E"/>
    <w:rsid w:val="00991E39"/>
    <w:rsid w:val="00996C38"/>
    <w:rsid w:val="00A27107"/>
    <w:rsid w:val="00B1310A"/>
    <w:rsid w:val="00B738B3"/>
    <w:rsid w:val="00B95E68"/>
    <w:rsid w:val="00B97D90"/>
    <w:rsid w:val="00BA0FCC"/>
    <w:rsid w:val="00BA11B7"/>
    <w:rsid w:val="00BA29A7"/>
    <w:rsid w:val="00C0392D"/>
    <w:rsid w:val="00C31CAA"/>
    <w:rsid w:val="00C6612C"/>
    <w:rsid w:val="00C95E03"/>
    <w:rsid w:val="00C965D3"/>
    <w:rsid w:val="00C97CB9"/>
    <w:rsid w:val="00CF4CC5"/>
    <w:rsid w:val="00D279B2"/>
    <w:rsid w:val="00D32C63"/>
    <w:rsid w:val="00D679A5"/>
    <w:rsid w:val="00DA35AE"/>
    <w:rsid w:val="00E05A0E"/>
    <w:rsid w:val="00F05E59"/>
    <w:rsid w:val="00F62928"/>
    <w:rsid w:val="00FD74F1"/>
    <w:rsid w:val="00FF168C"/>
    <w:rsid w:val="00FF1EDD"/>
    <w:rsid w:val="00FF4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70A4E"/>
  <w15:docId w15:val="{06FB9BA2-BD7C-407B-99A8-B7FC5896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754C"/>
    <w:pPr>
      <w:ind w:left="720"/>
      <w:contextualSpacing/>
    </w:pPr>
  </w:style>
  <w:style w:type="character" w:styleId="Hyperlink">
    <w:name w:val="Hyperlink"/>
    <w:basedOn w:val="DefaultParagraphFont"/>
    <w:uiPriority w:val="99"/>
    <w:unhideWhenUsed/>
    <w:rsid w:val="00845A6D"/>
    <w:rPr>
      <w:color w:val="0563C1" w:themeColor="hyperlink"/>
      <w:u w:val="single"/>
    </w:rPr>
  </w:style>
  <w:style w:type="paragraph" w:styleId="Header">
    <w:name w:val="header"/>
    <w:basedOn w:val="Normal"/>
    <w:link w:val="HeaderChar"/>
    <w:uiPriority w:val="99"/>
    <w:unhideWhenUsed/>
    <w:rsid w:val="00845A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5A6D"/>
  </w:style>
  <w:style w:type="paragraph" w:styleId="Footer">
    <w:name w:val="footer"/>
    <w:basedOn w:val="Normal"/>
    <w:link w:val="FooterChar"/>
    <w:uiPriority w:val="99"/>
    <w:unhideWhenUsed/>
    <w:rsid w:val="00845A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5A6D"/>
  </w:style>
  <w:style w:type="paragraph" w:styleId="BalloonText">
    <w:name w:val="Balloon Text"/>
    <w:basedOn w:val="Normal"/>
    <w:link w:val="BalloonTextChar"/>
    <w:uiPriority w:val="99"/>
    <w:semiHidden/>
    <w:unhideWhenUsed/>
    <w:rsid w:val="00845A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A6D"/>
    <w:rPr>
      <w:rFonts w:ascii="Tahoma" w:hAnsi="Tahoma" w:cs="Tahoma"/>
      <w:sz w:val="16"/>
      <w:szCs w:val="16"/>
    </w:rPr>
  </w:style>
  <w:style w:type="paragraph" w:styleId="NoSpacing">
    <w:name w:val="No Spacing"/>
    <w:uiPriority w:val="1"/>
    <w:qFormat/>
    <w:rsid w:val="00F05E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0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colnshire.gov.uk/safeguarding/lscp/3" TargetMode="External"/><Relationship Id="rId13" Type="http://schemas.openxmlformats.org/officeDocument/2006/relationships/hyperlink" Target="https://assets.publishing.service.gov.uk/government/uploads/system/uploads/attachment_data/file/1014224/Sexual_violence_and_sexual_harassment_between_children_in_schools_and_colleges.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rook.org.uk/our-work/category/sexual-behaviours-traffic-light-tool" TargetMode="External"/><Relationship Id="rId12" Type="http://schemas.openxmlformats.org/officeDocument/2006/relationships/hyperlink" Target="https://www.gov.uk/government/publications/keeping-children-safe-in-education--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colnshirescb.proceduresonline.com/chapters/p_inapp_harm_behav.ht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lincolnshire.gov.uk/keeping-children-safe/team-around-child"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ampaignresources.phe.gov.uk/schools/topics/rise-above/overvie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561</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Greenwood Academies Trust</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Oldfield</dc:creator>
  <cp:lastModifiedBy>Zoe Walters</cp:lastModifiedBy>
  <cp:revision>30</cp:revision>
  <dcterms:created xsi:type="dcterms:W3CDTF">2021-07-07T09:11:00Z</dcterms:created>
  <dcterms:modified xsi:type="dcterms:W3CDTF">2021-11-30T11:10:00Z</dcterms:modified>
</cp:coreProperties>
</file>