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03ECB4DB" w:rsidR="003F6C2C" w:rsidRPr="00D00B44" w:rsidRDefault="003F6C2C" w:rsidP="00EC1787">
      <w:pPr>
        <w:widowControl w:val="0"/>
        <w:autoSpaceDE w:val="0"/>
        <w:autoSpaceDN w:val="0"/>
        <w:adjustRightInd w:val="0"/>
        <w:spacing w:after="0" w:line="800" w:lineRule="exact"/>
        <w:ind w:left="556" w:right="11" w:firstLine="1520"/>
        <w:jc w:val="right"/>
        <w:rPr>
          <w:rFonts w:ascii="Arial" w:eastAsiaTheme="minorEastAsia" w:hAnsi="Arial" w:cs="Arial"/>
          <w:b/>
          <w:bCs/>
          <w:color w:val="FAFAFA"/>
          <w:sz w:val="54"/>
          <w:szCs w:val="54"/>
          <w:lang w:eastAsia="en-GB"/>
        </w:rPr>
      </w:pPr>
      <w:r w:rsidRPr="00D00B44">
        <w:rPr>
          <w:rFonts w:ascii="Arial" w:eastAsiaTheme="minorEastAsia" w:hAnsi="Arial" w:cs="Arial"/>
          <w:b/>
          <w:bCs/>
          <w:noProof/>
          <w:sz w:val="54"/>
          <w:szCs w:val="54"/>
          <w:lang w:eastAsia="en-GB"/>
        </w:rPr>
        <w:drawing>
          <wp:anchor distT="0" distB="0" distL="114300" distR="114300" simplePos="0" relativeHeight="251657216" behindDoc="1" locked="0" layoutInCell="0" allowOverlap="1" wp14:anchorId="37D8F664" wp14:editId="12785857">
            <wp:simplePos x="0" y="0"/>
            <wp:positionH relativeFrom="page">
              <wp:posOffset>0</wp:posOffset>
            </wp:positionH>
            <wp:positionV relativeFrom="page">
              <wp:posOffset>-9525</wp:posOffset>
            </wp:positionV>
            <wp:extent cx="7534055" cy="10687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5520" cy="10689128"/>
                    </a:xfrm>
                    <a:prstGeom prst="rect">
                      <a:avLst/>
                    </a:prstGeom>
                    <a:noFill/>
                  </pic:spPr>
                </pic:pic>
              </a:graphicData>
            </a:graphic>
            <wp14:sizeRelH relativeFrom="page">
              <wp14:pctWidth>0</wp14:pctWidth>
            </wp14:sizeRelH>
            <wp14:sizeRelV relativeFrom="page">
              <wp14:pctHeight>0</wp14:pctHeight>
            </wp14:sizeRelV>
          </wp:anchor>
        </w:drawing>
      </w:r>
      <w:r w:rsidR="00C66DC7" w:rsidRPr="00D00B44">
        <w:rPr>
          <w:rFonts w:ascii="Arial" w:eastAsiaTheme="minorEastAsia" w:hAnsi="Arial" w:cs="Arial"/>
          <w:b/>
          <w:bCs/>
          <w:color w:val="FAFAFA"/>
          <w:sz w:val="54"/>
          <w:szCs w:val="54"/>
          <w:lang w:eastAsia="en-GB"/>
        </w:rPr>
        <w:t>Guidance for Online Safety for Children in Care</w:t>
      </w:r>
    </w:p>
    <w:p w14:paraId="5107C60D" w14:textId="203B6BB7" w:rsidR="004D3086" w:rsidRPr="000E1AE7" w:rsidRDefault="004D3086">
      <w:pPr>
        <w:rPr>
          <w:rFonts w:asciiTheme="majorHAnsi" w:hAnsiTheme="majorHAnsi" w:cstheme="majorHAnsi"/>
          <w:b/>
          <w:bCs/>
        </w:rPr>
      </w:pPr>
    </w:p>
    <w:p w14:paraId="73B69FD2" w14:textId="72DC28C8" w:rsidR="009D1745" w:rsidRDefault="009D1745" w:rsidP="00DF38F5">
      <w:pPr>
        <w:jc w:val="right"/>
      </w:pPr>
    </w:p>
    <w:p w14:paraId="17A6838C" w14:textId="34DFB76E" w:rsidR="0046702E" w:rsidRDefault="0046702E" w:rsidP="00DF38F5">
      <w:pPr>
        <w:jc w:val="right"/>
      </w:pPr>
    </w:p>
    <w:p w14:paraId="058CCF28" w14:textId="05F3DCFE" w:rsidR="0046702E" w:rsidRDefault="0046702E" w:rsidP="00DF38F5">
      <w:pPr>
        <w:jc w:val="right"/>
      </w:pP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78C77FA8" w14:textId="610091D4" w:rsidR="00101B8C" w:rsidRDefault="00101B8C" w:rsidP="00101B8C"/>
    <w:p w14:paraId="7F4A5383" w14:textId="77777777" w:rsidR="00101B8C" w:rsidRDefault="00101B8C" w:rsidP="00101B8C"/>
    <w:p w14:paraId="097A1D7F" w14:textId="77777777" w:rsidR="00101B8C" w:rsidRDefault="00101B8C" w:rsidP="00101B8C"/>
    <w:p w14:paraId="68019DD5" w14:textId="77777777" w:rsidR="00101B8C" w:rsidRDefault="00101B8C" w:rsidP="00101B8C"/>
    <w:p w14:paraId="206A41FD" w14:textId="77777777" w:rsidR="00101B8C" w:rsidRDefault="00101B8C" w:rsidP="00101B8C"/>
    <w:p w14:paraId="64A6D497" w14:textId="77777777" w:rsidR="00101B8C" w:rsidRDefault="00101B8C" w:rsidP="00101B8C"/>
    <w:p w14:paraId="1D3EEF72" w14:textId="139F0051" w:rsidR="00101B8C" w:rsidRDefault="00101B8C" w:rsidP="00101B8C"/>
    <w:p w14:paraId="1EDDC7E2" w14:textId="23806A50" w:rsidR="00101B8C" w:rsidRDefault="00101B8C" w:rsidP="00101B8C"/>
    <w:p w14:paraId="55832CBB" w14:textId="55DBD733" w:rsidR="00101B8C" w:rsidRDefault="00BD3727" w:rsidP="00101B8C">
      <w:r w:rsidRPr="00C66DC7">
        <w:rPr>
          <w:rFonts w:asciiTheme="majorHAnsi" w:hAnsiTheme="majorHAnsi" w:cstheme="majorHAnsi"/>
          <w:b/>
          <w:bCs/>
          <w:noProof/>
        </w:rPr>
        <mc:AlternateContent>
          <mc:Choice Requires="wps">
            <w:drawing>
              <wp:anchor distT="45720" distB="45720" distL="114300" distR="114300" simplePos="0" relativeHeight="251659264" behindDoc="0" locked="0" layoutInCell="1" allowOverlap="1" wp14:anchorId="5E8C7B6B" wp14:editId="4BBDA77B">
                <wp:simplePos x="0" y="0"/>
                <wp:positionH relativeFrom="column">
                  <wp:posOffset>-914400</wp:posOffset>
                </wp:positionH>
                <wp:positionV relativeFrom="paragraph">
                  <wp:posOffset>252730</wp:posOffset>
                </wp:positionV>
                <wp:extent cx="2190750"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33675"/>
                        </a:xfrm>
                        <a:prstGeom prst="rect">
                          <a:avLst/>
                        </a:prstGeom>
                        <a:noFill/>
                        <a:ln w="9525">
                          <a:noFill/>
                          <a:miter lim="800000"/>
                          <a:headEnd/>
                          <a:tailEnd/>
                        </a:ln>
                      </wps:spPr>
                      <wps:txbx>
                        <w:txbxContent>
                          <w:p w14:paraId="285EC214" w14:textId="681D2A7F" w:rsidR="00213DEA" w:rsidRPr="00AE4162" w:rsidRDefault="00E50DE5"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Author</w:t>
                            </w:r>
                            <w:r w:rsidR="00213DEA" w:rsidRPr="00AE4162">
                              <w:rPr>
                                <w:rFonts w:ascii="Arial" w:eastAsiaTheme="minorEastAsia" w:hAnsi="Arial" w:cs="Arial"/>
                                <w:b/>
                                <w:bCs/>
                                <w:sz w:val="24"/>
                                <w:szCs w:val="24"/>
                                <w:lang w:eastAsia="en-GB"/>
                              </w:rPr>
                              <w:t>: Clare Hall</w:t>
                            </w:r>
                          </w:p>
                          <w:p w14:paraId="41F43150" w14:textId="21AF92D3" w:rsidR="00BD3727" w:rsidRPr="00AE4162" w:rsidRDefault="00BD3727" w:rsidP="00213DEA">
                            <w:pPr>
                              <w:widowControl w:val="0"/>
                              <w:autoSpaceDE w:val="0"/>
                              <w:autoSpaceDN w:val="0"/>
                              <w:adjustRightInd w:val="0"/>
                              <w:spacing w:after="0" w:line="700" w:lineRule="exact"/>
                              <w:ind w:right="11"/>
                              <w:jc w:val="both"/>
                              <w:rPr>
                                <w:rFonts w:ascii="Arial" w:eastAsiaTheme="minorEastAsia" w:hAnsi="Arial" w:cs="Arial"/>
                                <w:sz w:val="24"/>
                                <w:szCs w:val="24"/>
                                <w:lang w:eastAsia="en-GB"/>
                              </w:rPr>
                            </w:pPr>
                            <w:r w:rsidRPr="00AE4162">
                              <w:rPr>
                                <w:rFonts w:ascii="Arial" w:eastAsiaTheme="minorEastAsia" w:hAnsi="Arial" w:cs="Arial"/>
                                <w:b/>
                                <w:bCs/>
                                <w:sz w:val="24"/>
                                <w:szCs w:val="24"/>
                                <w:lang w:eastAsia="en-GB"/>
                              </w:rPr>
                              <w:t xml:space="preserve">Approved By: Debee Beale </w:t>
                            </w:r>
                          </w:p>
                          <w:p w14:paraId="7DDEC497" w14:textId="77777777" w:rsidR="00BD3727" w:rsidRPr="00AE4162" w:rsidRDefault="00213DEA"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Date of Issue:</w:t>
                            </w:r>
                            <w:r w:rsidR="00802C03" w:rsidRPr="00AE4162">
                              <w:rPr>
                                <w:rFonts w:ascii="Arial" w:eastAsiaTheme="minorEastAsia" w:hAnsi="Arial" w:cs="Arial"/>
                                <w:b/>
                                <w:bCs/>
                                <w:sz w:val="24"/>
                                <w:szCs w:val="24"/>
                                <w:lang w:eastAsia="en-GB"/>
                              </w:rPr>
                              <w:t xml:space="preserve"> </w:t>
                            </w:r>
                          </w:p>
                          <w:p w14:paraId="564836A2" w14:textId="4A7ECF2D" w:rsidR="00213DEA" w:rsidRPr="00AE4162"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9</w:t>
                            </w:r>
                            <w:r w:rsidRPr="00AE4162">
                              <w:rPr>
                                <w:rFonts w:ascii="Arial" w:eastAsiaTheme="minorEastAsia" w:hAnsi="Arial" w:cs="Arial"/>
                                <w:b/>
                                <w:bCs/>
                                <w:sz w:val="24"/>
                                <w:szCs w:val="24"/>
                                <w:vertAlign w:val="superscript"/>
                                <w:lang w:eastAsia="en-GB"/>
                              </w:rPr>
                              <w:t>th</w:t>
                            </w:r>
                            <w:r w:rsidRPr="00AE4162">
                              <w:rPr>
                                <w:rFonts w:ascii="Arial" w:eastAsiaTheme="minorEastAsia" w:hAnsi="Arial" w:cs="Arial"/>
                                <w:b/>
                                <w:bCs/>
                                <w:sz w:val="24"/>
                                <w:szCs w:val="24"/>
                                <w:lang w:eastAsia="en-GB"/>
                              </w:rPr>
                              <w:t xml:space="preserve"> June 2022</w:t>
                            </w:r>
                          </w:p>
                          <w:p w14:paraId="43E0A3E1" w14:textId="77777777" w:rsidR="00802C03" w:rsidRPr="00AE4162" w:rsidRDefault="00213DEA"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Date to be Reviewed:</w:t>
                            </w:r>
                            <w:r w:rsidR="00802C03" w:rsidRPr="00AE4162">
                              <w:rPr>
                                <w:rFonts w:ascii="Arial" w:eastAsiaTheme="minorEastAsia" w:hAnsi="Arial" w:cs="Arial"/>
                                <w:b/>
                                <w:bCs/>
                                <w:sz w:val="24"/>
                                <w:szCs w:val="24"/>
                                <w:lang w:eastAsia="en-GB"/>
                              </w:rPr>
                              <w:t xml:space="preserve"> </w:t>
                            </w:r>
                          </w:p>
                          <w:p w14:paraId="0E464BAD" w14:textId="38E4FD92" w:rsidR="00802C03" w:rsidRPr="00AE4162"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9</w:t>
                            </w:r>
                            <w:r w:rsidRPr="00AE4162">
                              <w:rPr>
                                <w:rFonts w:ascii="Arial" w:eastAsiaTheme="minorEastAsia" w:hAnsi="Arial" w:cs="Arial"/>
                                <w:b/>
                                <w:bCs/>
                                <w:sz w:val="24"/>
                                <w:szCs w:val="24"/>
                                <w:vertAlign w:val="superscript"/>
                                <w:lang w:eastAsia="en-GB"/>
                              </w:rPr>
                              <w:t>th</w:t>
                            </w:r>
                            <w:r w:rsidRPr="00AE4162">
                              <w:rPr>
                                <w:rFonts w:ascii="Arial" w:eastAsiaTheme="minorEastAsia" w:hAnsi="Arial" w:cs="Arial"/>
                                <w:b/>
                                <w:bCs/>
                                <w:sz w:val="24"/>
                                <w:szCs w:val="24"/>
                                <w:lang w:eastAsia="en-GB"/>
                              </w:rPr>
                              <w:t xml:space="preserve"> June 2024</w:t>
                            </w:r>
                          </w:p>
                          <w:p w14:paraId="71EF89C9" w14:textId="77777777" w:rsidR="00802C03" w:rsidRPr="00213DEA"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p>
                          <w:p w14:paraId="3045A774" w14:textId="283AD56B" w:rsidR="00C66DC7" w:rsidRDefault="00C66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C7B6B" id="_x0000_t202" coordsize="21600,21600" o:spt="202" path="m,l,21600r21600,l21600,xe">
                <v:stroke joinstyle="miter"/>
                <v:path gradientshapeok="t" o:connecttype="rect"/>
              </v:shapetype>
              <v:shape id="Text Box 2" o:spid="_x0000_s1026" type="#_x0000_t202" style="position:absolute;margin-left:-1in;margin-top:19.9pt;width:172.5pt;height:2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" filled="f" stroked="f">
                <v:textbox>
                  <w:txbxContent>
                    <w:p w14:paraId="285EC214" w14:textId="681D2A7F" w:rsidR="00213DEA" w:rsidRPr="00AE4162" w:rsidRDefault="00E50DE5"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Author</w:t>
                      </w:r>
                      <w:r w:rsidR="00213DEA" w:rsidRPr="00AE4162">
                        <w:rPr>
                          <w:rFonts w:ascii="Arial" w:eastAsiaTheme="minorEastAsia" w:hAnsi="Arial" w:cs="Arial"/>
                          <w:b/>
                          <w:bCs/>
                          <w:sz w:val="24"/>
                          <w:szCs w:val="24"/>
                          <w:lang w:eastAsia="en-GB"/>
                        </w:rPr>
                        <w:t>: Clare Hall</w:t>
                      </w:r>
                    </w:p>
                    <w:p w14:paraId="41F43150" w14:textId="21AF92D3" w:rsidR="00BD3727" w:rsidRPr="00AE4162" w:rsidRDefault="00BD3727" w:rsidP="00213DEA">
                      <w:pPr>
                        <w:widowControl w:val="0"/>
                        <w:autoSpaceDE w:val="0"/>
                        <w:autoSpaceDN w:val="0"/>
                        <w:adjustRightInd w:val="0"/>
                        <w:spacing w:after="0" w:line="700" w:lineRule="exact"/>
                        <w:ind w:right="11"/>
                        <w:jc w:val="both"/>
                        <w:rPr>
                          <w:rFonts w:ascii="Arial" w:eastAsiaTheme="minorEastAsia" w:hAnsi="Arial" w:cs="Arial"/>
                          <w:sz w:val="24"/>
                          <w:szCs w:val="24"/>
                          <w:lang w:eastAsia="en-GB"/>
                        </w:rPr>
                      </w:pPr>
                      <w:r w:rsidRPr="00AE4162">
                        <w:rPr>
                          <w:rFonts w:ascii="Arial" w:eastAsiaTheme="minorEastAsia" w:hAnsi="Arial" w:cs="Arial"/>
                          <w:b/>
                          <w:bCs/>
                          <w:sz w:val="24"/>
                          <w:szCs w:val="24"/>
                          <w:lang w:eastAsia="en-GB"/>
                        </w:rPr>
                        <w:t xml:space="preserve">Approved By: Debee Beale </w:t>
                      </w:r>
                    </w:p>
                    <w:p w14:paraId="7DDEC497" w14:textId="77777777" w:rsidR="00BD3727" w:rsidRPr="00AE4162" w:rsidRDefault="00213DEA"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Date of Issue:</w:t>
                      </w:r>
                      <w:r w:rsidR="00802C03" w:rsidRPr="00AE4162">
                        <w:rPr>
                          <w:rFonts w:ascii="Arial" w:eastAsiaTheme="minorEastAsia" w:hAnsi="Arial" w:cs="Arial"/>
                          <w:b/>
                          <w:bCs/>
                          <w:sz w:val="24"/>
                          <w:szCs w:val="24"/>
                          <w:lang w:eastAsia="en-GB"/>
                        </w:rPr>
                        <w:t xml:space="preserve"> </w:t>
                      </w:r>
                    </w:p>
                    <w:p w14:paraId="564836A2" w14:textId="4A7ECF2D" w:rsidR="00213DEA" w:rsidRPr="00AE4162"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9</w:t>
                      </w:r>
                      <w:r w:rsidRPr="00AE4162">
                        <w:rPr>
                          <w:rFonts w:ascii="Arial" w:eastAsiaTheme="minorEastAsia" w:hAnsi="Arial" w:cs="Arial"/>
                          <w:b/>
                          <w:bCs/>
                          <w:sz w:val="24"/>
                          <w:szCs w:val="24"/>
                          <w:vertAlign w:val="superscript"/>
                          <w:lang w:eastAsia="en-GB"/>
                        </w:rPr>
                        <w:t>th</w:t>
                      </w:r>
                      <w:r w:rsidRPr="00AE4162">
                        <w:rPr>
                          <w:rFonts w:ascii="Arial" w:eastAsiaTheme="minorEastAsia" w:hAnsi="Arial" w:cs="Arial"/>
                          <w:b/>
                          <w:bCs/>
                          <w:sz w:val="24"/>
                          <w:szCs w:val="24"/>
                          <w:lang w:eastAsia="en-GB"/>
                        </w:rPr>
                        <w:t xml:space="preserve"> June 2022</w:t>
                      </w:r>
                    </w:p>
                    <w:p w14:paraId="43E0A3E1" w14:textId="77777777" w:rsidR="00802C03" w:rsidRPr="00AE4162" w:rsidRDefault="00213DEA"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Date to be Reviewed:</w:t>
                      </w:r>
                      <w:r w:rsidR="00802C03" w:rsidRPr="00AE4162">
                        <w:rPr>
                          <w:rFonts w:ascii="Arial" w:eastAsiaTheme="minorEastAsia" w:hAnsi="Arial" w:cs="Arial"/>
                          <w:b/>
                          <w:bCs/>
                          <w:sz w:val="24"/>
                          <w:szCs w:val="24"/>
                          <w:lang w:eastAsia="en-GB"/>
                        </w:rPr>
                        <w:t xml:space="preserve"> </w:t>
                      </w:r>
                    </w:p>
                    <w:p w14:paraId="0E464BAD" w14:textId="38E4FD92" w:rsidR="00802C03" w:rsidRPr="00AE4162"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r w:rsidRPr="00AE4162">
                        <w:rPr>
                          <w:rFonts w:ascii="Arial" w:eastAsiaTheme="minorEastAsia" w:hAnsi="Arial" w:cs="Arial"/>
                          <w:b/>
                          <w:bCs/>
                          <w:sz w:val="24"/>
                          <w:szCs w:val="24"/>
                          <w:lang w:eastAsia="en-GB"/>
                        </w:rPr>
                        <w:t>9</w:t>
                      </w:r>
                      <w:r w:rsidRPr="00AE4162">
                        <w:rPr>
                          <w:rFonts w:ascii="Arial" w:eastAsiaTheme="minorEastAsia" w:hAnsi="Arial" w:cs="Arial"/>
                          <w:b/>
                          <w:bCs/>
                          <w:sz w:val="24"/>
                          <w:szCs w:val="24"/>
                          <w:vertAlign w:val="superscript"/>
                          <w:lang w:eastAsia="en-GB"/>
                        </w:rPr>
                        <w:t>th</w:t>
                      </w:r>
                      <w:r w:rsidRPr="00AE4162">
                        <w:rPr>
                          <w:rFonts w:ascii="Arial" w:eastAsiaTheme="minorEastAsia" w:hAnsi="Arial" w:cs="Arial"/>
                          <w:b/>
                          <w:bCs/>
                          <w:sz w:val="24"/>
                          <w:szCs w:val="24"/>
                          <w:lang w:eastAsia="en-GB"/>
                        </w:rPr>
                        <w:t xml:space="preserve"> June 2024</w:t>
                      </w:r>
                    </w:p>
                    <w:p w14:paraId="71EF89C9" w14:textId="77777777" w:rsidR="00802C03" w:rsidRPr="00213DEA" w:rsidRDefault="00802C03" w:rsidP="00213DEA">
                      <w:pPr>
                        <w:widowControl w:val="0"/>
                        <w:autoSpaceDE w:val="0"/>
                        <w:autoSpaceDN w:val="0"/>
                        <w:adjustRightInd w:val="0"/>
                        <w:spacing w:after="0" w:line="700" w:lineRule="exact"/>
                        <w:ind w:right="11"/>
                        <w:jc w:val="both"/>
                        <w:rPr>
                          <w:rFonts w:ascii="Arial" w:eastAsiaTheme="minorEastAsia" w:hAnsi="Arial" w:cs="Arial"/>
                          <w:b/>
                          <w:bCs/>
                          <w:sz w:val="24"/>
                          <w:szCs w:val="24"/>
                          <w:lang w:eastAsia="en-GB"/>
                        </w:rPr>
                      </w:pPr>
                    </w:p>
                    <w:p w14:paraId="3045A774" w14:textId="283AD56B" w:rsidR="00C66DC7" w:rsidRDefault="00C66DC7"/>
                  </w:txbxContent>
                </v:textbox>
                <w10:wrap type="square"/>
              </v:shape>
            </w:pict>
          </mc:Fallback>
        </mc:AlternateContent>
      </w:r>
    </w:p>
    <w:p w14:paraId="59F30876" w14:textId="73ED4EC3" w:rsidR="00101B8C" w:rsidRDefault="00101B8C" w:rsidP="00101B8C"/>
    <w:p w14:paraId="05533CF6" w14:textId="3FE885CE" w:rsidR="00101B8C" w:rsidRDefault="00101B8C" w:rsidP="00101B8C"/>
    <w:p w14:paraId="3B743051" w14:textId="02284CAC" w:rsidR="00101B8C" w:rsidRDefault="00101B8C" w:rsidP="00101B8C"/>
    <w:p w14:paraId="6CECEC2F" w14:textId="0F0402B9" w:rsidR="00101B8C" w:rsidRDefault="00101B8C" w:rsidP="00101B8C"/>
    <w:p w14:paraId="6EFDC3A4" w14:textId="77777777" w:rsidR="00101B8C" w:rsidRDefault="00101B8C" w:rsidP="00101B8C"/>
    <w:p w14:paraId="05657D2A" w14:textId="77777777" w:rsidR="00101B8C" w:rsidRDefault="00101B8C" w:rsidP="00101B8C"/>
    <w:p w14:paraId="30EEFB22" w14:textId="77777777" w:rsidR="00101B8C" w:rsidRDefault="00101B8C" w:rsidP="00101B8C"/>
    <w:p w14:paraId="378EA7F8" w14:textId="77777777" w:rsidR="00101B8C" w:rsidRDefault="00101B8C" w:rsidP="00101B8C"/>
    <w:p w14:paraId="7103050A" w14:textId="77777777" w:rsidR="00101B8C" w:rsidRDefault="00101B8C" w:rsidP="00101B8C"/>
    <w:p w14:paraId="43F6DA8C" w14:textId="77777777" w:rsidR="00101B8C" w:rsidRDefault="00101B8C" w:rsidP="00101B8C"/>
    <w:p w14:paraId="3B70CC70" w14:textId="77777777" w:rsidR="00101B8C" w:rsidRDefault="00101B8C" w:rsidP="00101B8C"/>
    <w:p w14:paraId="69397EFA" w14:textId="702AF7C9" w:rsidR="00C66DC7" w:rsidRPr="00101B8C" w:rsidRDefault="00C66DC7" w:rsidP="00101B8C">
      <w:pPr>
        <w:jc w:val="center"/>
      </w:pPr>
      <w:r w:rsidRPr="000955C8">
        <w:rPr>
          <w:rFonts w:ascii="Arial" w:hAnsi="Arial" w:cs="Arial"/>
          <w:b/>
          <w:bCs/>
          <w:sz w:val="28"/>
          <w:szCs w:val="28"/>
        </w:rPr>
        <w:lastRenderedPageBreak/>
        <w:t>Online Safety for Children in Care</w:t>
      </w:r>
    </w:p>
    <w:p w14:paraId="5DC91BFA" w14:textId="77777777" w:rsidR="00C66DC7" w:rsidRPr="000955C8" w:rsidRDefault="00C66DC7" w:rsidP="00C66DC7">
      <w:pPr>
        <w:rPr>
          <w:rFonts w:ascii="Arial" w:hAnsi="Arial" w:cs="Arial"/>
          <w:sz w:val="24"/>
          <w:szCs w:val="24"/>
        </w:rPr>
      </w:pPr>
      <w:r w:rsidRPr="000955C8">
        <w:rPr>
          <w:rFonts w:ascii="Arial" w:hAnsi="Arial" w:cs="Arial"/>
          <w:sz w:val="24"/>
          <w:szCs w:val="24"/>
        </w:rPr>
        <w:t xml:space="preserve">All children deserve the opportunity to thrive online. </w:t>
      </w:r>
      <w:r w:rsidRPr="000955C8">
        <w:rPr>
          <w:rFonts w:ascii="Arial" w:hAnsi="Arial" w:cs="Arial"/>
          <w:color w:val="000000"/>
          <w:sz w:val="24"/>
          <w:szCs w:val="24"/>
          <w:shd w:val="clear" w:color="auto" w:fill="FFFFFF"/>
        </w:rPr>
        <w:t>Research has found that young people who are care experienced c</w:t>
      </w:r>
      <w:r w:rsidRPr="000955C8">
        <w:rPr>
          <w:rFonts w:ascii="Arial" w:hAnsi="Arial" w:cs="Arial"/>
          <w:sz w:val="24"/>
          <w:szCs w:val="24"/>
          <w:shd w:val="clear" w:color="auto" w:fill="FFFFFF"/>
        </w:rPr>
        <w:t>an benefit from the psychological, emotional and social support provided by social media networks (</w:t>
      </w:r>
      <w:hyperlink r:id="rId9" w:history="1">
        <w:r w:rsidRPr="000955C8">
          <w:rPr>
            <w:rStyle w:val="Hyperlink"/>
            <w:rFonts w:ascii="Arial" w:hAnsi="Arial" w:cs="Arial"/>
            <w:sz w:val="24"/>
            <w:szCs w:val="24"/>
            <w:shd w:val="clear" w:color="auto" w:fill="FFFFFF"/>
          </w:rPr>
          <w:t>University of East Anglia, 2018</w:t>
        </w:r>
      </w:hyperlink>
      <w:r w:rsidRPr="000955C8">
        <w:rPr>
          <w:rFonts w:ascii="Arial" w:hAnsi="Arial" w:cs="Arial"/>
          <w:sz w:val="24"/>
          <w:szCs w:val="24"/>
          <w:shd w:val="clear" w:color="auto" w:fill="FFFFFF"/>
        </w:rPr>
        <w:t xml:space="preserve">). </w:t>
      </w:r>
      <w:r w:rsidRPr="000955C8">
        <w:rPr>
          <w:rFonts w:ascii="Arial" w:hAnsi="Arial" w:cs="Arial"/>
          <w:color w:val="000000"/>
          <w:sz w:val="24"/>
          <w:szCs w:val="24"/>
          <w:shd w:val="clear" w:color="auto" w:fill="FFFFFF"/>
        </w:rPr>
        <w:t>Positive online networks can help to reduce physical and psychological isolation and can provide organisational support as children become more independent.</w:t>
      </w:r>
      <w:r w:rsidRPr="000955C8">
        <w:rPr>
          <w:rFonts w:ascii="Arial" w:hAnsi="Arial" w:cs="Arial"/>
          <w:sz w:val="24"/>
          <w:szCs w:val="24"/>
        </w:rPr>
        <w:t xml:space="preserve"> </w:t>
      </w:r>
    </w:p>
    <w:p w14:paraId="074339E3" w14:textId="77777777" w:rsidR="00C66DC7" w:rsidRPr="000955C8" w:rsidRDefault="00C66DC7" w:rsidP="00C66DC7">
      <w:pPr>
        <w:rPr>
          <w:rFonts w:ascii="Arial" w:hAnsi="Arial" w:cs="Arial"/>
          <w:sz w:val="24"/>
          <w:szCs w:val="24"/>
        </w:rPr>
      </w:pPr>
      <w:r w:rsidRPr="000955C8">
        <w:rPr>
          <w:rFonts w:ascii="Arial" w:hAnsi="Arial" w:cs="Arial"/>
          <w:color w:val="000000"/>
          <w:sz w:val="24"/>
          <w:szCs w:val="24"/>
          <w:shd w:val="clear" w:color="auto" w:fill="FFFFFF"/>
        </w:rPr>
        <w:t>However, as well as the benefits, online spaces do also carry risks for children in care, particularly those who are vulnerable due to their</w:t>
      </w:r>
      <w:r w:rsidRPr="000955C8">
        <w:rPr>
          <w:rFonts w:ascii="Arial" w:hAnsi="Arial" w:cs="Arial"/>
          <w:sz w:val="24"/>
          <w:szCs w:val="24"/>
        </w:rPr>
        <w:t xml:space="preserve"> previous lived experiences, their placement moves and their ongoing connections with their families can sometimes disadvantage them in ways that can make them more susceptible to risks. </w:t>
      </w:r>
    </w:p>
    <w:p w14:paraId="3FDFF8E4" w14:textId="7EB6D09A" w:rsidR="00D00B44" w:rsidRPr="000955C8" w:rsidRDefault="00C66DC7" w:rsidP="00C66DC7">
      <w:pPr>
        <w:rPr>
          <w:rFonts w:ascii="Arial" w:hAnsi="Arial" w:cs="Arial"/>
          <w:sz w:val="24"/>
          <w:szCs w:val="24"/>
        </w:rPr>
      </w:pPr>
      <w:r w:rsidRPr="000955C8">
        <w:rPr>
          <w:rFonts w:ascii="Arial" w:hAnsi="Arial" w:cs="Arial"/>
          <w:sz w:val="24"/>
          <w:szCs w:val="24"/>
        </w:rPr>
        <w:t xml:space="preserve">We need to ensure that children and young people in care get the best out of their time online by ensuring that foster carers and parents are informed and equipped with the knowledge and tools they need to protect their children and young people from online harm. It is important to think about online harm in all its contexts as it can occur on any device that is connected to the internet including, but not limited to, smart phones, iPods, smart TV’s, gaming devices such as an Xbox, laptops, </w:t>
      </w:r>
      <w:proofErr w:type="gramStart"/>
      <w:r w:rsidRPr="000955C8">
        <w:rPr>
          <w:rFonts w:ascii="Arial" w:hAnsi="Arial" w:cs="Arial"/>
          <w:sz w:val="24"/>
          <w:szCs w:val="24"/>
        </w:rPr>
        <w:t>computers</w:t>
      </w:r>
      <w:proofErr w:type="gramEnd"/>
      <w:r w:rsidRPr="000955C8">
        <w:rPr>
          <w:rFonts w:ascii="Arial" w:hAnsi="Arial" w:cs="Arial"/>
          <w:sz w:val="24"/>
          <w:szCs w:val="24"/>
        </w:rPr>
        <w:t xml:space="preserve"> and iPads. There is also a need to ensure knowledge is relevant and up to date as this is a growing area. </w:t>
      </w:r>
    </w:p>
    <w:p w14:paraId="4843F34C" w14:textId="77777777" w:rsidR="00C66DC7" w:rsidRPr="000955C8" w:rsidRDefault="00C66DC7" w:rsidP="00C66DC7">
      <w:pPr>
        <w:rPr>
          <w:rFonts w:ascii="Arial" w:hAnsi="Arial" w:cs="Arial"/>
          <w:b/>
          <w:bCs/>
          <w:sz w:val="24"/>
          <w:szCs w:val="24"/>
          <w:u w:val="single"/>
        </w:rPr>
      </w:pPr>
      <w:r w:rsidRPr="000955C8">
        <w:rPr>
          <w:rFonts w:ascii="Arial" w:hAnsi="Arial" w:cs="Arial"/>
          <w:b/>
          <w:bCs/>
          <w:sz w:val="24"/>
          <w:szCs w:val="24"/>
          <w:u w:val="single"/>
        </w:rPr>
        <w:t>The aim of this guidance is to:</w:t>
      </w:r>
    </w:p>
    <w:p w14:paraId="71D988DE" w14:textId="77777777" w:rsidR="00C66DC7" w:rsidRPr="000955C8" w:rsidRDefault="00C66DC7" w:rsidP="00C66DC7">
      <w:pPr>
        <w:pStyle w:val="ListParagraph"/>
        <w:numPr>
          <w:ilvl w:val="0"/>
          <w:numId w:val="28"/>
        </w:numPr>
        <w:rPr>
          <w:rFonts w:ascii="Arial" w:hAnsi="Arial" w:cs="Arial"/>
          <w:sz w:val="24"/>
          <w:szCs w:val="24"/>
        </w:rPr>
      </w:pPr>
      <w:r w:rsidRPr="000955C8">
        <w:rPr>
          <w:rFonts w:ascii="Arial" w:hAnsi="Arial" w:cs="Arial"/>
          <w:sz w:val="24"/>
          <w:szCs w:val="24"/>
        </w:rPr>
        <w:t xml:space="preserve">Provide practitioners with guidance around setting expectations and holding discussions with parents, children/young </w:t>
      </w:r>
      <w:proofErr w:type="gramStart"/>
      <w:r w:rsidRPr="000955C8">
        <w:rPr>
          <w:rFonts w:ascii="Arial" w:hAnsi="Arial" w:cs="Arial"/>
          <w:sz w:val="24"/>
          <w:szCs w:val="24"/>
        </w:rPr>
        <w:t>people</w:t>
      </w:r>
      <w:proofErr w:type="gramEnd"/>
      <w:r w:rsidRPr="000955C8">
        <w:rPr>
          <w:rFonts w:ascii="Arial" w:hAnsi="Arial" w:cs="Arial"/>
          <w:sz w:val="24"/>
          <w:szCs w:val="24"/>
        </w:rPr>
        <w:t xml:space="preserve"> and foster carers in regard to purchasing devices which can be connected to the internet.</w:t>
      </w:r>
    </w:p>
    <w:p w14:paraId="416499D2" w14:textId="77777777" w:rsidR="00C66DC7" w:rsidRPr="000955C8" w:rsidRDefault="00C66DC7" w:rsidP="00C66DC7">
      <w:pPr>
        <w:pStyle w:val="ListParagraph"/>
        <w:numPr>
          <w:ilvl w:val="0"/>
          <w:numId w:val="28"/>
        </w:numPr>
        <w:rPr>
          <w:rFonts w:ascii="Arial" w:hAnsi="Arial" w:cs="Arial"/>
          <w:sz w:val="24"/>
          <w:szCs w:val="24"/>
        </w:rPr>
      </w:pPr>
      <w:r w:rsidRPr="000955C8">
        <w:rPr>
          <w:rFonts w:ascii="Arial" w:hAnsi="Arial" w:cs="Arial"/>
          <w:sz w:val="24"/>
          <w:szCs w:val="24"/>
        </w:rPr>
        <w:t xml:space="preserve">Provide links to resources which can be used by practitioners and/or shared appropriately with children/young people, foster </w:t>
      </w:r>
      <w:proofErr w:type="gramStart"/>
      <w:r w:rsidRPr="000955C8">
        <w:rPr>
          <w:rFonts w:ascii="Arial" w:hAnsi="Arial" w:cs="Arial"/>
          <w:sz w:val="24"/>
          <w:szCs w:val="24"/>
        </w:rPr>
        <w:t>carers</w:t>
      </w:r>
      <w:proofErr w:type="gramEnd"/>
      <w:r w:rsidRPr="000955C8">
        <w:rPr>
          <w:rFonts w:ascii="Arial" w:hAnsi="Arial" w:cs="Arial"/>
          <w:sz w:val="24"/>
          <w:szCs w:val="24"/>
        </w:rPr>
        <w:t xml:space="preserve"> and parents in order to </w:t>
      </w:r>
      <w:r w:rsidRPr="000955C8">
        <w:rPr>
          <w:rFonts w:ascii="Arial" w:eastAsia="Times New Roman" w:hAnsi="Arial" w:cs="Arial"/>
          <w:color w:val="3B3A39"/>
          <w:sz w:val="24"/>
          <w:szCs w:val="24"/>
          <w:lang w:eastAsia="en-GB"/>
        </w:rPr>
        <w:t>create a safer digital space for children to explore and interact.</w:t>
      </w:r>
    </w:p>
    <w:p w14:paraId="7DF5A71A" w14:textId="17126136" w:rsidR="00D00B44" w:rsidRPr="000955C8" w:rsidRDefault="00C66DC7" w:rsidP="00C66DC7">
      <w:pPr>
        <w:rPr>
          <w:rFonts w:ascii="Arial" w:hAnsi="Arial" w:cs="Arial"/>
          <w:sz w:val="24"/>
          <w:szCs w:val="24"/>
        </w:rPr>
      </w:pPr>
      <w:r w:rsidRPr="000955C8">
        <w:rPr>
          <w:rFonts w:ascii="Arial" w:hAnsi="Arial" w:cs="Arial"/>
          <w:sz w:val="24"/>
          <w:szCs w:val="24"/>
        </w:rPr>
        <w:t>This guidance is aimed at any practitioner who works with Children in Care (including, but not limited to; Children in Care teams, CYPDS, SUASC, Fostering Teams, and Independent Reviewing Officers)</w:t>
      </w:r>
    </w:p>
    <w:p w14:paraId="504905AE" w14:textId="77777777" w:rsidR="00C66DC7" w:rsidRPr="000955C8" w:rsidRDefault="00C66DC7" w:rsidP="00C66DC7">
      <w:pPr>
        <w:rPr>
          <w:rFonts w:ascii="Arial" w:hAnsi="Arial" w:cs="Arial"/>
          <w:b/>
          <w:bCs/>
          <w:sz w:val="24"/>
          <w:szCs w:val="24"/>
          <w:u w:val="single"/>
        </w:rPr>
      </w:pPr>
      <w:r w:rsidRPr="000955C8">
        <w:rPr>
          <w:rFonts w:ascii="Arial" w:hAnsi="Arial" w:cs="Arial"/>
          <w:b/>
          <w:bCs/>
          <w:sz w:val="24"/>
          <w:szCs w:val="24"/>
          <w:u w:val="single"/>
        </w:rPr>
        <w:t>Working with Parents</w:t>
      </w:r>
    </w:p>
    <w:p w14:paraId="1C6BC240" w14:textId="77777777" w:rsidR="00C66DC7" w:rsidRPr="000955C8" w:rsidRDefault="00C66DC7" w:rsidP="00C66DC7">
      <w:pPr>
        <w:rPr>
          <w:rFonts w:ascii="Arial" w:hAnsi="Arial" w:cs="Arial"/>
          <w:color w:val="000000"/>
          <w:spacing w:val="-1"/>
          <w:sz w:val="24"/>
          <w:szCs w:val="24"/>
          <w:shd w:val="clear" w:color="auto" w:fill="FFFFFF"/>
        </w:rPr>
      </w:pPr>
      <w:r w:rsidRPr="000955C8">
        <w:rPr>
          <w:rFonts w:ascii="Arial" w:hAnsi="Arial" w:cs="Arial"/>
          <w:sz w:val="24"/>
          <w:szCs w:val="24"/>
        </w:rPr>
        <w:t>Practitioners should take a proactive and preventative approach.</w:t>
      </w:r>
      <w:r w:rsidRPr="000955C8">
        <w:rPr>
          <w:rFonts w:ascii="Arial" w:hAnsi="Arial" w:cs="Arial"/>
          <w:b/>
          <w:bCs/>
          <w:sz w:val="24"/>
          <w:szCs w:val="24"/>
        </w:rPr>
        <w:t xml:space="preserve"> Discussions should take place</w:t>
      </w:r>
      <w:r w:rsidRPr="000955C8">
        <w:rPr>
          <w:rFonts w:ascii="Arial" w:hAnsi="Arial" w:cs="Arial"/>
          <w:sz w:val="24"/>
          <w:szCs w:val="24"/>
        </w:rPr>
        <w:t xml:space="preserve"> with parents and foster carers around online safety and expectations around purchasing devices which can be connected to the internet, if they are intended to be used by a child/young person. Where possible, these discussions need to take place</w:t>
      </w:r>
      <w:r w:rsidRPr="000955C8">
        <w:rPr>
          <w:rFonts w:ascii="Arial" w:hAnsi="Arial" w:cs="Arial"/>
          <w:b/>
          <w:bCs/>
          <w:sz w:val="24"/>
          <w:szCs w:val="24"/>
        </w:rPr>
        <w:t xml:space="preserve"> before</w:t>
      </w:r>
      <w:r w:rsidRPr="000955C8">
        <w:rPr>
          <w:rFonts w:ascii="Arial" w:hAnsi="Arial" w:cs="Arial"/>
          <w:sz w:val="24"/>
          <w:szCs w:val="24"/>
        </w:rPr>
        <w:t xml:space="preserve"> a child/young person moves to a new home and/or when a new device is purchased. Following a discussion, if deemed appropriate, </w:t>
      </w:r>
      <w:r w:rsidRPr="000955C8">
        <w:rPr>
          <w:rFonts w:ascii="Arial" w:hAnsi="Arial" w:cs="Arial"/>
          <w:b/>
          <w:bCs/>
          <w:sz w:val="24"/>
          <w:szCs w:val="24"/>
        </w:rPr>
        <w:t>an agreement can be made</w:t>
      </w:r>
      <w:r w:rsidRPr="000955C8">
        <w:rPr>
          <w:rFonts w:ascii="Arial" w:hAnsi="Arial" w:cs="Arial"/>
          <w:sz w:val="24"/>
          <w:szCs w:val="24"/>
        </w:rPr>
        <w:t xml:space="preserve"> that allows a parent to give their child/young person a device. It is important that agreements are made following work with all parties involved </w:t>
      </w:r>
      <w:proofErr w:type="gramStart"/>
      <w:r w:rsidRPr="000955C8">
        <w:rPr>
          <w:rFonts w:ascii="Arial" w:hAnsi="Arial" w:cs="Arial"/>
          <w:sz w:val="24"/>
          <w:szCs w:val="24"/>
        </w:rPr>
        <w:t>in order to</w:t>
      </w:r>
      <w:proofErr w:type="gramEnd"/>
      <w:r w:rsidRPr="000955C8">
        <w:rPr>
          <w:rFonts w:ascii="Arial" w:hAnsi="Arial" w:cs="Arial"/>
          <w:sz w:val="24"/>
          <w:szCs w:val="24"/>
        </w:rPr>
        <w:t xml:space="preserve"> support the young person in their placement whilst supporting and sustaining safe connections with others, including their parents </w:t>
      </w:r>
      <w:r w:rsidRPr="000955C8">
        <w:rPr>
          <w:rFonts w:ascii="Arial" w:hAnsi="Arial" w:cs="Arial"/>
          <w:sz w:val="24"/>
          <w:szCs w:val="24"/>
        </w:rPr>
        <w:lastRenderedPageBreak/>
        <w:t xml:space="preserve">or family. </w:t>
      </w:r>
      <w:r w:rsidRPr="000955C8">
        <w:rPr>
          <w:rFonts w:ascii="Arial" w:hAnsi="Arial" w:cs="Arial"/>
          <w:color w:val="000000"/>
          <w:spacing w:val="-1"/>
          <w:sz w:val="24"/>
          <w:szCs w:val="24"/>
          <w:shd w:val="clear" w:color="auto" w:fill="FFFFFF"/>
        </w:rPr>
        <w:t>In time, many children will return home to their family but even if this is not possible their birth family are still likely to be a central part of their lives.</w:t>
      </w:r>
    </w:p>
    <w:p w14:paraId="5DD687F5" w14:textId="77777777" w:rsidR="00C66DC7" w:rsidRPr="000955C8" w:rsidRDefault="00C66DC7" w:rsidP="00C66DC7">
      <w:pPr>
        <w:rPr>
          <w:rFonts w:ascii="Arial" w:hAnsi="Arial" w:cs="Arial"/>
          <w:sz w:val="24"/>
          <w:szCs w:val="24"/>
        </w:rPr>
      </w:pPr>
      <w:r w:rsidRPr="000955C8">
        <w:rPr>
          <w:rFonts w:ascii="Arial" w:hAnsi="Arial" w:cs="Arial"/>
          <w:sz w:val="24"/>
          <w:szCs w:val="24"/>
        </w:rPr>
        <w:t xml:space="preserve">The agreement needs to be </w:t>
      </w:r>
      <w:r w:rsidRPr="000955C8">
        <w:rPr>
          <w:rFonts w:ascii="Arial" w:hAnsi="Arial" w:cs="Arial"/>
          <w:b/>
          <w:bCs/>
          <w:sz w:val="24"/>
          <w:szCs w:val="24"/>
        </w:rPr>
        <w:t>carefully considered</w:t>
      </w:r>
      <w:r w:rsidRPr="000955C8">
        <w:rPr>
          <w:rFonts w:ascii="Arial" w:hAnsi="Arial" w:cs="Arial"/>
          <w:sz w:val="24"/>
          <w:szCs w:val="24"/>
        </w:rPr>
        <w:t xml:space="preserve"> and a risk assessment carried out which covers at least the following:</w:t>
      </w:r>
    </w:p>
    <w:p w14:paraId="0A2AA54A"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specific level of risk for that child/young person (</w:t>
      </w:r>
      <w:proofErr w:type="gramStart"/>
      <w:r w:rsidRPr="000955C8">
        <w:rPr>
          <w:rFonts w:ascii="Arial" w:hAnsi="Arial" w:cs="Arial"/>
          <w:sz w:val="24"/>
          <w:szCs w:val="24"/>
        </w:rPr>
        <w:t>e.g.</w:t>
      </w:r>
      <w:proofErr w:type="gramEnd"/>
      <w:r w:rsidRPr="000955C8">
        <w:rPr>
          <w:rFonts w:ascii="Arial" w:hAnsi="Arial" w:cs="Arial"/>
          <w:sz w:val="24"/>
          <w:szCs w:val="24"/>
        </w:rPr>
        <w:t xml:space="preserve"> There may be issues of contextual safeguarding or exploitation which need to be considered, bullying, risk posed by family members, other connected persons and peers etc)</w:t>
      </w:r>
    </w:p>
    <w:p w14:paraId="2113AED9"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reason why a parent/carer wants to buy the device</w:t>
      </w:r>
    </w:p>
    <w:p w14:paraId="0B277FB2"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 xml:space="preserve">Other children who live at the address </w:t>
      </w:r>
    </w:p>
    <w:p w14:paraId="055A805F"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child/young person’s current online use (see resources for Online Safety Mapping Tool)</w:t>
      </w:r>
    </w:p>
    <w:p w14:paraId="7BFB7288"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child/young person’s level of online safety knowledge and their ability to keep themselves safe, or report incidences appropriately</w:t>
      </w:r>
    </w:p>
    <w:p w14:paraId="7865CA2F"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child/young person’s relationship with their carer</w:t>
      </w:r>
    </w:p>
    <w:p w14:paraId="740A53CC"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Age-appropriate use</w:t>
      </w:r>
    </w:p>
    <w:p w14:paraId="4B3DBA83"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ability of the foster carer to monitor the child/young person’s use and their knowledge around online safety</w:t>
      </w:r>
    </w:p>
    <w:p w14:paraId="1A2901BE"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The relationship between the parents and foster carers</w:t>
      </w:r>
    </w:p>
    <w:p w14:paraId="32349ACF" w14:textId="77777777" w:rsidR="00C66DC7" w:rsidRPr="000955C8" w:rsidRDefault="00C66DC7" w:rsidP="00C66DC7">
      <w:pPr>
        <w:pStyle w:val="ListParagraph"/>
        <w:numPr>
          <w:ilvl w:val="0"/>
          <w:numId w:val="29"/>
        </w:numPr>
        <w:rPr>
          <w:rFonts w:ascii="Arial" w:hAnsi="Arial" w:cs="Arial"/>
          <w:sz w:val="24"/>
          <w:szCs w:val="24"/>
        </w:rPr>
      </w:pPr>
      <w:r w:rsidRPr="000955C8">
        <w:rPr>
          <w:rFonts w:ascii="Arial" w:hAnsi="Arial" w:cs="Arial"/>
          <w:sz w:val="24"/>
          <w:szCs w:val="24"/>
        </w:rPr>
        <w:t xml:space="preserve">Who will be responsible for the purchase of a device, the account associated with the device and any loss or damage </w:t>
      </w:r>
      <w:proofErr w:type="gramStart"/>
      <w:r w:rsidRPr="000955C8">
        <w:rPr>
          <w:rFonts w:ascii="Arial" w:hAnsi="Arial" w:cs="Arial"/>
          <w:sz w:val="24"/>
          <w:szCs w:val="24"/>
        </w:rPr>
        <w:t>incurred.</w:t>
      </w:r>
      <w:proofErr w:type="gramEnd"/>
      <w:r w:rsidRPr="000955C8">
        <w:rPr>
          <w:rFonts w:ascii="Arial" w:hAnsi="Arial" w:cs="Arial"/>
          <w:sz w:val="24"/>
          <w:szCs w:val="24"/>
        </w:rPr>
        <w:t xml:space="preserve"> If it is agreed that a parent/carer will purchase a device, it is only in exceptional circumstances that they should be responsible for the contract connected to a device.  </w:t>
      </w:r>
    </w:p>
    <w:p w14:paraId="2723C74D" w14:textId="77777777" w:rsidR="00C66DC7" w:rsidRPr="000955C8" w:rsidRDefault="00C66DC7" w:rsidP="00C66DC7">
      <w:pPr>
        <w:rPr>
          <w:rFonts w:ascii="Arial" w:hAnsi="Arial" w:cs="Arial"/>
          <w:sz w:val="24"/>
          <w:szCs w:val="24"/>
        </w:rPr>
      </w:pPr>
      <w:r w:rsidRPr="000955C8">
        <w:rPr>
          <w:rFonts w:ascii="Arial" w:hAnsi="Arial" w:cs="Arial"/>
          <w:sz w:val="24"/>
          <w:szCs w:val="24"/>
        </w:rPr>
        <w:t>Agreements and decisions made are discretionary and should be alongside a team manager or supervisor and/or other practitioners involved with the child/young person where appropriate (</w:t>
      </w:r>
      <w:proofErr w:type="gramStart"/>
      <w:r w:rsidRPr="000955C8">
        <w:rPr>
          <w:rFonts w:ascii="Arial" w:hAnsi="Arial" w:cs="Arial"/>
          <w:sz w:val="24"/>
          <w:szCs w:val="24"/>
        </w:rPr>
        <w:t>e.g.</w:t>
      </w:r>
      <w:proofErr w:type="gramEnd"/>
      <w:r w:rsidRPr="000955C8">
        <w:rPr>
          <w:rFonts w:ascii="Arial" w:hAnsi="Arial" w:cs="Arial"/>
          <w:sz w:val="24"/>
          <w:szCs w:val="24"/>
        </w:rPr>
        <w:t xml:space="preserve"> the IRO, Fostering Social Worker)</w:t>
      </w:r>
    </w:p>
    <w:p w14:paraId="22A18F1E" w14:textId="77777777" w:rsidR="00C66DC7" w:rsidRPr="000955C8" w:rsidRDefault="00C66DC7" w:rsidP="00C66DC7">
      <w:pPr>
        <w:rPr>
          <w:rFonts w:ascii="Arial" w:hAnsi="Arial" w:cs="Arial"/>
          <w:sz w:val="24"/>
          <w:szCs w:val="24"/>
        </w:rPr>
      </w:pPr>
      <w:r w:rsidRPr="000955C8">
        <w:rPr>
          <w:rFonts w:ascii="Arial" w:hAnsi="Arial" w:cs="Arial"/>
          <w:sz w:val="24"/>
          <w:szCs w:val="24"/>
        </w:rPr>
        <w:t>If it is agreed that a device can be purchased by a parent/carer, the device must be given to the foster carer (or appropriate professional) prior to the young person, to ensure factory settings are reset.</w:t>
      </w:r>
    </w:p>
    <w:p w14:paraId="2AFC49F1" w14:textId="77777777" w:rsidR="00C66DC7" w:rsidRPr="000955C8" w:rsidRDefault="00C66DC7" w:rsidP="00C66DC7">
      <w:pPr>
        <w:rPr>
          <w:rFonts w:ascii="Arial" w:hAnsi="Arial" w:cs="Arial"/>
          <w:sz w:val="24"/>
          <w:szCs w:val="24"/>
        </w:rPr>
      </w:pPr>
      <w:r w:rsidRPr="000955C8">
        <w:rPr>
          <w:rFonts w:ascii="Arial" w:hAnsi="Arial" w:cs="Arial"/>
          <w:b/>
          <w:bCs/>
          <w:sz w:val="24"/>
          <w:szCs w:val="24"/>
        </w:rPr>
        <w:t xml:space="preserve">Parents need to be made aware </w:t>
      </w:r>
      <w:r w:rsidRPr="000955C8">
        <w:rPr>
          <w:rFonts w:ascii="Arial" w:hAnsi="Arial" w:cs="Arial"/>
          <w:sz w:val="24"/>
          <w:szCs w:val="24"/>
        </w:rPr>
        <w:t xml:space="preserve">of online safety issues, the harm that can be caused and the </w:t>
      </w:r>
      <w:r w:rsidRPr="000955C8">
        <w:rPr>
          <w:rFonts w:ascii="Arial" w:hAnsi="Arial" w:cs="Arial"/>
          <w:b/>
          <w:bCs/>
          <w:sz w:val="24"/>
          <w:szCs w:val="24"/>
        </w:rPr>
        <w:t>role of foster carers in managing risk</w:t>
      </w:r>
      <w:r w:rsidRPr="000955C8">
        <w:rPr>
          <w:rFonts w:ascii="Arial" w:hAnsi="Arial" w:cs="Arial"/>
          <w:sz w:val="24"/>
          <w:szCs w:val="24"/>
        </w:rPr>
        <w:t xml:space="preserve"> by setting rules and boundaries. For example, foster carers may need to set privacy settings, monitor contacts and content on a device and set screen time limits. </w:t>
      </w:r>
    </w:p>
    <w:p w14:paraId="2BAD6670" w14:textId="77777777" w:rsidR="00C66DC7" w:rsidRPr="000955C8" w:rsidRDefault="00C66DC7" w:rsidP="00C66DC7">
      <w:pPr>
        <w:rPr>
          <w:rFonts w:ascii="Arial" w:hAnsi="Arial" w:cs="Arial"/>
          <w:sz w:val="24"/>
          <w:szCs w:val="24"/>
        </w:rPr>
      </w:pPr>
      <w:r w:rsidRPr="000955C8">
        <w:rPr>
          <w:rFonts w:ascii="Arial" w:hAnsi="Arial" w:cs="Arial"/>
          <w:sz w:val="24"/>
          <w:szCs w:val="24"/>
        </w:rPr>
        <w:t xml:space="preserve">Where appropriate, </w:t>
      </w:r>
      <w:r w:rsidRPr="000955C8">
        <w:rPr>
          <w:rFonts w:ascii="Arial" w:hAnsi="Arial" w:cs="Arial"/>
          <w:b/>
          <w:bCs/>
          <w:sz w:val="24"/>
          <w:szCs w:val="24"/>
        </w:rPr>
        <w:t xml:space="preserve">discussions should include the child/young person. </w:t>
      </w:r>
      <w:r w:rsidRPr="000955C8">
        <w:rPr>
          <w:rFonts w:ascii="Arial" w:hAnsi="Arial" w:cs="Arial"/>
          <w:sz w:val="24"/>
          <w:szCs w:val="24"/>
        </w:rPr>
        <w:t xml:space="preserve">Young people will often use social media and/or their own device in </w:t>
      </w:r>
      <w:proofErr w:type="gramStart"/>
      <w:r w:rsidRPr="000955C8">
        <w:rPr>
          <w:rFonts w:ascii="Arial" w:hAnsi="Arial" w:cs="Arial"/>
          <w:sz w:val="24"/>
          <w:szCs w:val="24"/>
        </w:rPr>
        <w:t>a number of</w:t>
      </w:r>
      <w:proofErr w:type="gramEnd"/>
      <w:r w:rsidRPr="000955C8">
        <w:rPr>
          <w:rFonts w:ascii="Arial" w:hAnsi="Arial" w:cs="Arial"/>
          <w:sz w:val="24"/>
          <w:szCs w:val="24"/>
        </w:rPr>
        <w:t xml:space="preserve"> ways to connect with others, including parents, family members, their peers or foster carers. It is important to </w:t>
      </w:r>
      <w:r w:rsidRPr="000955C8">
        <w:rPr>
          <w:rFonts w:ascii="Arial" w:hAnsi="Arial" w:cs="Arial"/>
          <w:b/>
          <w:bCs/>
          <w:sz w:val="24"/>
          <w:szCs w:val="24"/>
        </w:rPr>
        <w:t xml:space="preserve">discuss and explain safe contact to young people, </w:t>
      </w:r>
      <w:r w:rsidRPr="000955C8">
        <w:rPr>
          <w:rFonts w:ascii="Arial" w:hAnsi="Arial" w:cs="Arial"/>
          <w:sz w:val="24"/>
          <w:szCs w:val="24"/>
        </w:rPr>
        <w:t>how this can be achieved and the need for practitioners and foster carers to support them in this.</w:t>
      </w:r>
    </w:p>
    <w:p w14:paraId="363F9FE5" w14:textId="77777777" w:rsidR="00C66DC7" w:rsidRPr="000955C8" w:rsidRDefault="00C66DC7" w:rsidP="00C66DC7">
      <w:pPr>
        <w:rPr>
          <w:rFonts w:ascii="Arial" w:hAnsi="Arial" w:cs="Arial"/>
          <w:sz w:val="24"/>
          <w:szCs w:val="24"/>
        </w:rPr>
      </w:pPr>
      <w:r w:rsidRPr="000955C8">
        <w:rPr>
          <w:rFonts w:ascii="Arial" w:hAnsi="Arial" w:cs="Arial"/>
          <w:sz w:val="24"/>
          <w:szCs w:val="24"/>
        </w:rPr>
        <w:t xml:space="preserve">Discussion and agreements can become part of the Safe Care Plan and agreements around Family Time. You can find a variety of </w:t>
      </w:r>
      <w:r w:rsidRPr="000955C8">
        <w:rPr>
          <w:rFonts w:ascii="Arial" w:hAnsi="Arial" w:cs="Arial"/>
          <w:b/>
          <w:bCs/>
          <w:sz w:val="24"/>
          <w:szCs w:val="24"/>
        </w:rPr>
        <w:t>guidance, leaflets,</w:t>
      </w:r>
      <w:r w:rsidRPr="000955C8">
        <w:rPr>
          <w:rFonts w:ascii="Arial" w:hAnsi="Arial" w:cs="Arial"/>
          <w:sz w:val="24"/>
          <w:szCs w:val="24"/>
        </w:rPr>
        <w:t xml:space="preserve"> </w:t>
      </w:r>
      <w:proofErr w:type="gramStart"/>
      <w:r w:rsidRPr="000955C8">
        <w:rPr>
          <w:rFonts w:ascii="Arial" w:hAnsi="Arial" w:cs="Arial"/>
          <w:b/>
          <w:bCs/>
          <w:sz w:val="24"/>
          <w:szCs w:val="24"/>
        </w:rPr>
        <w:t>tools</w:t>
      </w:r>
      <w:proofErr w:type="gramEnd"/>
      <w:r w:rsidRPr="000955C8">
        <w:rPr>
          <w:rFonts w:ascii="Arial" w:hAnsi="Arial" w:cs="Arial"/>
          <w:b/>
          <w:bCs/>
          <w:sz w:val="24"/>
          <w:szCs w:val="24"/>
        </w:rPr>
        <w:t xml:space="preserve"> and </w:t>
      </w:r>
      <w:r w:rsidRPr="000955C8">
        <w:rPr>
          <w:rFonts w:ascii="Arial" w:hAnsi="Arial" w:cs="Arial"/>
          <w:b/>
          <w:bCs/>
          <w:sz w:val="24"/>
          <w:szCs w:val="24"/>
        </w:rPr>
        <w:lastRenderedPageBreak/>
        <w:t>resources</w:t>
      </w:r>
      <w:r w:rsidRPr="000955C8">
        <w:rPr>
          <w:rFonts w:ascii="Arial" w:hAnsi="Arial" w:cs="Arial"/>
          <w:sz w:val="24"/>
          <w:szCs w:val="24"/>
        </w:rPr>
        <w:t xml:space="preserve"> to support you in your conversations with parents/carers, foster carers and young people </w:t>
      </w:r>
      <w:hyperlink r:id="rId10" w:history="1">
        <w:r w:rsidRPr="000955C8">
          <w:rPr>
            <w:rStyle w:val="Hyperlink"/>
            <w:rFonts w:ascii="Arial" w:hAnsi="Arial" w:cs="Arial"/>
            <w:sz w:val="24"/>
            <w:szCs w:val="24"/>
          </w:rPr>
          <w:t>on the Kent Academy</w:t>
        </w:r>
      </w:hyperlink>
    </w:p>
    <w:p w14:paraId="70BBAE6A" w14:textId="1189A988" w:rsidR="007C69B5" w:rsidRPr="0017716D" w:rsidRDefault="007C69B5">
      <w:pPr>
        <w:rPr>
          <w:b/>
          <w:bCs/>
          <w:sz w:val="24"/>
          <w:szCs w:val="24"/>
          <w:u w:val="single"/>
        </w:rPr>
      </w:pPr>
    </w:p>
    <w:sectPr w:rsidR="007C69B5" w:rsidRPr="0017716D" w:rsidSect="003F6C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8F84" w14:textId="77777777" w:rsidR="003E70FE" w:rsidRDefault="003E70FE" w:rsidP="006D7521">
      <w:pPr>
        <w:spacing w:after="0" w:line="240" w:lineRule="auto"/>
      </w:pPr>
      <w:r>
        <w:separator/>
      </w:r>
    </w:p>
  </w:endnote>
  <w:endnote w:type="continuationSeparator" w:id="0">
    <w:p w14:paraId="3D6FFF3C" w14:textId="77777777" w:rsidR="003E70FE" w:rsidRDefault="003E70F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B0C" w14:textId="6F4D22D7" w:rsidR="00B1509F" w:rsidRPr="006D7521" w:rsidRDefault="00C66DC7">
    <w:pPr>
      <w:pStyle w:val="Footer"/>
      <w:rPr>
        <w:sz w:val="20"/>
        <w:szCs w:val="20"/>
      </w:rPr>
    </w:pPr>
    <w:r>
      <w:rPr>
        <w:sz w:val="20"/>
        <w:szCs w:val="20"/>
      </w:rPr>
      <w:t>G</w:t>
    </w:r>
    <w:r w:rsidRPr="00C66DC7">
      <w:rPr>
        <w:sz w:val="20"/>
        <w:szCs w:val="20"/>
      </w:rPr>
      <w:t xml:space="preserve">uidance for </w:t>
    </w:r>
    <w:r>
      <w:rPr>
        <w:sz w:val="20"/>
        <w:szCs w:val="20"/>
      </w:rPr>
      <w:t>On</w:t>
    </w:r>
    <w:r w:rsidRPr="00C66DC7">
      <w:rPr>
        <w:sz w:val="20"/>
        <w:szCs w:val="20"/>
      </w:rPr>
      <w:t>line Safety for Children in Care</w:t>
    </w:r>
    <w:r w:rsidR="00B1509F">
      <w:rPr>
        <w:sz w:val="20"/>
        <w:szCs w:val="20"/>
      </w:rPr>
      <w:tab/>
    </w:r>
    <w:r w:rsidR="00B1509F">
      <w:rPr>
        <w:noProof/>
        <w:sz w:val="20"/>
        <w:szCs w:val="20"/>
      </w:rPr>
      <w:drawing>
        <wp:inline distT="0" distB="0" distL="0" distR="0" wp14:anchorId="539E840D" wp14:editId="0CFA9158">
          <wp:extent cx="1257143" cy="43809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57143" cy="438095"/>
                  </a:xfrm>
                  <a:prstGeom prst="rect">
                    <a:avLst/>
                  </a:prstGeom>
                </pic:spPr>
              </pic:pic>
            </a:graphicData>
          </a:graphic>
        </wp:inline>
      </w:drawing>
    </w:r>
    <w:r w:rsidR="00B1509F">
      <w:rPr>
        <w:noProof/>
        <w:sz w:val="20"/>
        <w:szCs w:val="20"/>
      </w:rPr>
      <w:drawing>
        <wp:inline distT="0" distB="0" distL="0" distR="0" wp14:anchorId="15499143" wp14:editId="2E851435">
          <wp:extent cx="1118979" cy="457584"/>
          <wp:effectExtent l="0" t="0" r="0" b="0"/>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33426" cy="463492"/>
                  </a:xfrm>
                  <a:prstGeom prst="rect">
                    <a:avLst/>
                  </a:prstGeom>
                </pic:spPr>
              </pic:pic>
            </a:graphicData>
          </a:graphic>
        </wp:inline>
      </w:drawing>
    </w:r>
    <w:r w:rsidR="00B1509F">
      <w:rPr>
        <w:noProof/>
        <w:sz w:val="20"/>
        <w:szCs w:val="20"/>
      </w:rPr>
      <w:drawing>
        <wp:inline distT="0" distB="0" distL="0" distR="0" wp14:anchorId="5B3483BB" wp14:editId="096DAA2C">
          <wp:extent cx="891496" cy="580569"/>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900691" cy="5865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230B" w14:textId="77777777" w:rsidR="003E70FE" w:rsidRDefault="003E70FE" w:rsidP="006D7521">
      <w:pPr>
        <w:spacing w:after="0" w:line="240" w:lineRule="auto"/>
      </w:pPr>
      <w:r>
        <w:separator/>
      </w:r>
    </w:p>
  </w:footnote>
  <w:footnote w:type="continuationSeparator" w:id="0">
    <w:p w14:paraId="3EF7F356" w14:textId="77777777" w:rsidR="003E70FE" w:rsidRDefault="003E70F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30941"/>
      <w:docPartObj>
        <w:docPartGallery w:val="Page Numbers (Top of Page)"/>
        <w:docPartUnique/>
      </w:docPartObj>
    </w:sdtPr>
    <w:sdtEndPr>
      <w:rPr>
        <w:noProof/>
      </w:rPr>
    </w:sdtEndPr>
    <w:sdtContent>
      <w:p w14:paraId="5079BB81" w14:textId="5185C618" w:rsidR="00B1509F" w:rsidRDefault="00B150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DA413D" w14:textId="77777777" w:rsidR="00B1509F" w:rsidRDefault="00B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3F6F57"/>
    <w:multiLevelType w:val="hybridMultilevel"/>
    <w:tmpl w:val="6AF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2B4E44"/>
    <w:multiLevelType w:val="hybridMultilevel"/>
    <w:tmpl w:val="7EA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048007">
    <w:abstractNumId w:val="24"/>
  </w:num>
  <w:num w:numId="2" w16cid:durableId="1660378272">
    <w:abstractNumId w:val="6"/>
  </w:num>
  <w:num w:numId="3" w16cid:durableId="1316490000">
    <w:abstractNumId w:val="11"/>
  </w:num>
  <w:num w:numId="4" w16cid:durableId="1337810364">
    <w:abstractNumId w:val="21"/>
  </w:num>
  <w:num w:numId="5" w16cid:durableId="378629279">
    <w:abstractNumId w:val="0"/>
  </w:num>
  <w:num w:numId="6" w16cid:durableId="1305771283">
    <w:abstractNumId w:val="23"/>
  </w:num>
  <w:num w:numId="7" w16cid:durableId="972752095">
    <w:abstractNumId w:val="13"/>
  </w:num>
  <w:num w:numId="8" w16cid:durableId="1014767065">
    <w:abstractNumId w:val="7"/>
  </w:num>
  <w:num w:numId="9" w16cid:durableId="200821294">
    <w:abstractNumId w:val="8"/>
  </w:num>
  <w:num w:numId="10" w16cid:durableId="115679296">
    <w:abstractNumId w:val="3"/>
  </w:num>
  <w:num w:numId="11" w16cid:durableId="1545485567">
    <w:abstractNumId w:val="9"/>
  </w:num>
  <w:num w:numId="12" w16cid:durableId="211159140">
    <w:abstractNumId w:val="25"/>
  </w:num>
  <w:num w:numId="13" w16cid:durableId="1883514426">
    <w:abstractNumId w:val="4"/>
  </w:num>
  <w:num w:numId="14" w16cid:durableId="1081413678">
    <w:abstractNumId w:val="26"/>
  </w:num>
  <w:num w:numId="15" w16cid:durableId="1306742670">
    <w:abstractNumId w:val="18"/>
  </w:num>
  <w:num w:numId="16" w16cid:durableId="1427849536">
    <w:abstractNumId w:val="1"/>
  </w:num>
  <w:num w:numId="17" w16cid:durableId="153302841">
    <w:abstractNumId w:val="10"/>
  </w:num>
  <w:num w:numId="18" w16cid:durableId="1253198028">
    <w:abstractNumId w:val="14"/>
  </w:num>
  <w:num w:numId="19" w16cid:durableId="723530877">
    <w:abstractNumId w:val="5"/>
  </w:num>
  <w:num w:numId="20" w16cid:durableId="2041392133">
    <w:abstractNumId w:val="16"/>
  </w:num>
  <w:num w:numId="21" w16cid:durableId="1290815713">
    <w:abstractNumId w:val="2"/>
  </w:num>
  <w:num w:numId="22" w16cid:durableId="1909487094">
    <w:abstractNumId w:val="28"/>
  </w:num>
  <w:num w:numId="23" w16cid:durableId="1913343682">
    <w:abstractNumId w:val="27"/>
  </w:num>
  <w:num w:numId="24" w16cid:durableId="24603288">
    <w:abstractNumId w:val="20"/>
  </w:num>
  <w:num w:numId="25" w16cid:durableId="423503453">
    <w:abstractNumId w:val="22"/>
  </w:num>
  <w:num w:numId="26" w16cid:durableId="761487832">
    <w:abstractNumId w:val="15"/>
  </w:num>
  <w:num w:numId="27" w16cid:durableId="1543908570">
    <w:abstractNumId w:val="12"/>
  </w:num>
  <w:num w:numId="28" w16cid:durableId="62146047">
    <w:abstractNumId w:val="19"/>
  </w:num>
  <w:num w:numId="29" w16cid:durableId="36313631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04064"/>
    <w:rsid w:val="00012719"/>
    <w:rsid w:val="00013B90"/>
    <w:rsid w:val="000144F3"/>
    <w:rsid w:val="0003004C"/>
    <w:rsid w:val="00032F75"/>
    <w:rsid w:val="000360C9"/>
    <w:rsid w:val="00042C48"/>
    <w:rsid w:val="0006216C"/>
    <w:rsid w:val="00065434"/>
    <w:rsid w:val="00076398"/>
    <w:rsid w:val="00085C1F"/>
    <w:rsid w:val="000A3CC2"/>
    <w:rsid w:val="000A47E5"/>
    <w:rsid w:val="000D32F3"/>
    <w:rsid w:val="000D4008"/>
    <w:rsid w:val="000E1AE7"/>
    <w:rsid w:val="000E1D8A"/>
    <w:rsid w:val="000E6B8E"/>
    <w:rsid w:val="0010166E"/>
    <w:rsid w:val="00101B8C"/>
    <w:rsid w:val="00124CF9"/>
    <w:rsid w:val="0017716D"/>
    <w:rsid w:val="00186609"/>
    <w:rsid w:val="001C549F"/>
    <w:rsid w:val="001D2998"/>
    <w:rsid w:val="001E0A40"/>
    <w:rsid w:val="001F003F"/>
    <w:rsid w:val="001F6C23"/>
    <w:rsid w:val="002006A3"/>
    <w:rsid w:val="002009CF"/>
    <w:rsid w:val="00213DEA"/>
    <w:rsid w:val="00217BB4"/>
    <w:rsid w:val="00241870"/>
    <w:rsid w:val="002819E7"/>
    <w:rsid w:val="0028458E"/>
    <w:rsid w:val="002A6A7F"/>
    <w:rsid w:val="002B3CA1"/>
    <w:rsid w:val="002D18FF"/>
    <w:rsid w:val="002D36FA"/>
    <w:rsid w:val="002D7D8A"/>
    <w:rsid w:val="002E005F"/>
    <w:rsid w:val="002E39A7"/>
    <w:rsid w:val="002E6EA2"/>
    <w:rsid w:val="00304382"/>
    <w:rsid w:val="003214F7"/>
    <w:rsid w:val="003272DD"/>
    <w:rsid w:val="00332803"/>
    <w:rsid w:val="00334D88"/>
    <w:rsid w:val="003379F2"/>
    <w:rsid w:val="003468A5"/>
    <w:rsid w:val="00347134"/>
    <w:rsid w:val="00347B27"/>
    <w:rsid w:val="00361EC8"/>
    <w:rsid w:val="00390524"/>
    <w:rsid w:val="0039132D"/>
    <w:rsid w:val="00392906"/>
    <w:rsid w:val="0039769A"/>
    <w:rsid w:val="003C6FEE"/>
    <w:rsid w:val="003E403F"/>
    <w:rsid w:val="003E70FE"/>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02C0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92780"/>
    <w:rsid w:val="008A0CA6"/>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E4162"/>
    <w:rsid w:val="00AF454A"/>
    <w:rsid w:val="00B00C14"/>
    <w:rsid w:val="00B07335"/>
    <w:rsid w:val="00B14544"/>
    <w:rsid w:val="00B1509F"/>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3727"/>
    <w:rsid w:val="00BD7C92"/>
    <w:rsid w:val="00BE1988"/>
    <w:rsid w:val="00BE423A"/>
    <w:rsid w:val="00BE4CFC"/>
    <w:rsid w:val="00BE6EF3"/>
    <w:rsid w:val="00BF3F17"/>
    <w:rsid w:val="00C05EC4"/>
    <w:rsid w:val="00C103D8"/>
    <w:rsid w:val="00C124AF"/>
    <w:rsid w:val="00C144F7"/>
    <w:rsid w:val="00C20D7B"/>
    <w:rsid w:val="00C2160D"/>
    <w:rsid w:val="00C31709"/>
    <w:rsid w:val="00C34741"/>
    <w:rsid w:val="00C47CDB"/>
    <w:rsid w:val="00C64578"/>
    <w:rsid w:val="00C66DC7"/>
    <w:rsid w:val="00C92499"/>
    <w:rsid w:val="00CA0EA5"/>
    <w:rsid w:val="00CA19DE"/>
    <w:rsid w:val="00CB2C60"/>
    <w:rsid w:val="00CB68FC"/>
    <w:rsid w:val="00CE0DE3"/>
    <w:rsid w:val="00CE23E5"/>
    <w:rsid w:val="00CE382E"/>
    <w:rsid w:val="00CF2AC1"/>
    <w:rsid w:val="00D00B44"/>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2372"/>
    <w:rsid w:val="00DF38F5"/>
    <w:rsid w:val="00DF40F6"/>
    <w:rsid w:val="00E00A57"/>
    <w:rsid w:val="00E022CF"/>
    <w:rsid w:val="00E03127"/>
    <w:rsid w:val="00E115A5"/>
    <w:rsid w:val="00E17D51"/>
    <w:rsid w:val="00E24F55"/>
    <w:rsid w:val="00E265D2"/>
    <w:rsid w:val="00E33232"/>
    <w:rsid w:val="00E3339B"/>
    <w:rsid w:val="00E37AB7"/>
    <w:rsid w:val="00E45AE1"/>
    <w:rsid w:val="00E50DE5"/>
    <w:rsid w:val="00E57385"/>
    <w:rsid w:val="00E57EF7"/>
    <w:rsid w:val="00E60652"/>
    <w:rsid w:val="00E60B34"/>
    <w:rsid w:val="00E650A4"/>
    <w:rsid w:val="00E65A4E"/>
    <w:rsid w:val="00E6614D"/>
    <w:rsid w:val="00E77C1B"/>
    <w:rsid w:val="00E829CC"/>
    <w:rsid w:val="00E87F51"/>
    <w:rsid w:val="00EB5404"/>
    <w:rsid w:val="00EC1787"/>
    <w:rsid w:val="00EC19B4"/>
    <w:rsid w:val="00EC721B"/>
    <w:rsid w:val="00EF318E"/>
    <w:rsid w:val="00F0107F"/>
    <w:rsid w:val="00F03840"/>
    <w:rsid w:val="00F23068"/>
    <w:rsid w:val="00F30D16"/>
    <w:rsid w:val="00F32941"/>
    <w:rsid w:val="00F4713C"/>
    <w:rsid w:val="00F53A79"/>
    <w:rsid w:val="00F90A61"/>
    <w:rsid w:val="00F95C11"/>
    <w:rsid w:val="00FA17BB"/>
    <w:rsid w:val="00FB1B0E"/>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EA"/>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lta-learning.com/course/view.php?id=2026" TargetMode="External"/><Relationship Id="rId4" Type="http://schemas.openxmlformats.org/officeDocument/2006/relationships/settings" Target="settings.xml"/><Relationship Id="rId9" Type="http://schemas.openxmlformats.org/officeDocument/2006/relationships/hyperlink" Target="http://www.uea.ac.uk/about/-/the-benefits-of-social-media-for-young-people-in-c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Sophie Stevens - CY SCS</cp:lastModifiedBy>
  <cp:revision>4</cp:revision>
  <dcterms:created xsi:type="dcterms:W3CDTF">2022-06-10T08:54:00Z</dcterms:created>
  <dcterms:modified xsi:type="dcterms:W3CDTF">2022-06-10T08:56:00Z</dcterms:modified>
</cp:coreProperties>
</file>