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23D" w:rsidRPr="000833BA" w:rsidRDefault="000833BA">
      <w:pPr>
        <w:rPr>
          <w:rFonts w:ascii="Comic Sans MS" w:hAnsi="Comic Sans MS"/>
          <w:b/>
          <w:sz w:val="24"/>
          <w:szCs w:val="24"/>
        </w:rPr>
      </w:pPr>
      <w:r w:rsidRPr="000833BA">
        <w:rPr>
          <w:rFonts w:ascii="Comic Sans MS" w:hAnsi="Comic Sans MS"/>
          <w:b/>
          <w:sz w:val="24"/>
          <w:szCs w:val="24"/>
        </w:rPr>
        <w:t>LEARNING BRIEF – September 2019 - TRIGGER TRIO/TRILOGY OF RISK</w:t>
      </w:r>
    </w:p>
    <w:p w:rsidR="00766E8A" w:rsidRDefault="00766E8A">
      <w:r>
        <w:t>This L</w:t>
      </w:r>
      <w:r w:rsidR="000833BA">
        <w:t xml:space="preserve">earning </w:t>
      </w:r>
      <w:r>
        <w:t>B</w:t>
      </w:r>
      <w:r w:rsidR="000833BA">
        <w:t>rief</w:t>
      </w:r>
      <w:r>
        <w:t xml:space="preserve"> focuses on the learning and findings extracted from September Audits on Trigger Trio.</w:t>
      </w:r>
      <w:r w:rsidR="00373DC1">
        <w:t xml:space="preserve"> The audit sample was small </w:t>
      </w:r>
      <w:r w:rsidR="00212C2A">
        <w:t>(7)</w:t>
      </w:r>
      <w:r w:rsidR="00373DC1">
        <w:t xml:space="preserve"> this</w:t>
      </w:r>
      <w:r w:rsidR="00212C2A">
        <w:t xml:space="preserve"> has made</w:t>
      </w:r>
      <w:r w:rsidR="00373DC1">
        <w:t xml:space="preserve"> it difficult to extract </w:t>
      </w:r>
      <w:r w:rsidR="00212C2A">
        <w:t xml:space="preserve">any </w:t>
      </w:r>
      <w:r w:rsidR="00373DC1">
        <w:t xml:space="preserve">specific learning, furthermore the quality of the audits was variable with some sections of the audit lacking </w:t>
      </w:r>
      <w:r w:rsidR="00212C2A">
        <w:t xml:space="preserve">sufficient </w:t>
      </w:r>
      <w:r w:rsidR="00373DC1">
        <w:t xml:space="preserve">evidence to substantiate the judgement. – </w:t>
      </w:r>
      <w:r w:rsidR="00212C2A">
        <w:t>Therefore t</w:t>
      </w:r>
      <w:r w:rsidR="00373DC1">
        <w:t>his Learning Brief will draw out some of the common themes as identified by the auditors.</w:t>
      </w:r>
    </w:p>
    <w:p w:rsidR="00461D12" w:rsidRDefault="00EC382B" w:rsidP="00242E80">
      <w:r>
        <w:rPr>
          <w:noProof/>
          <w:lang w:eastAsia="en-GB"/>
        </w:rPr>
        <w:drawing>
          <wp:anchor distT="0" distB="0" distL="114300" distR="114300" simplePos="0" relativeHeight="251664384" behindDoc="1" locked="0" layoutInCell="1" allowOverlap="1">
            <wp:simplePos x="0" y="0"/>
            <wp:positionH relativeFrom="margin">
              <wp:align>left</wp:align>
            </wp:positionH>
            <wp:positionV relativeFrom="paragraph">
              <wp:posOffset>635</wp:posOffset>
            </wp:positionV>
            <wp:extent cx="1233170" cy="924560"/>
            <wp:effectExtent l="0" t="0" r="0" b="8890"/>
            <wp:wrapTight wrapText="bothSides">
              <wp:wrapPolygon edited="0">
                <wp:start x="8676" y="0"/>
                <wp:lineTo x="7007" y="1780"/>
                <wp:lineTo x="5339" y="5786"/>
                <wp:lineTo x="5339" y="7566"/>
                <wp:lineTo x="3003" y="10681"/>
                <wp:lineTo x="1668" y="13352"/>
                <wp:lineTo x="1668" y="16912"/>
                <wp:lineTo x="3670" y="21363"/>
                <wp:lineTo x="4671" y="21363"/>
                <wp:lineTo x="16684" y="21363"/>
                <wp:lineTo x="17685" y="21363"/>
                <wp:lineTo x="20021" y="16467"/>
                <wp:lineTo x="20021" y="14242"/>
                <wp:lineTo x="15015" y="2225"/>
                <wp:lineTo x="13013" y="0"/>
                <wp:lineTo x="8676" y="0"/>
              </wp:wrapPolygon>
            </wp:wrapTight>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V relativeFrom="margin">
              <wp14:pctHeight>0</wp14:pctHeight>
            </wp14:sizeRelV>
          </wp:anchor>
        </w:drawing>
      </w:r>
      <w:r w:rsidR="00766E8A">
        <w:t>Trigger Trio</w:t>
      </w:r>
      <w:r w:rsidR="00461D12">
        <w:t xml:space="preserve"> / Trilogy of R</w:t>
      </w:r>
      <w:r w:rsidR="00373DC1">
        <w:t>isk is a</w:t>
      </w:r>
      <w:r w:rsidR="00766E8A">
        <w:t xml:space="preserve"> term that is used to describe the combined issues from D</w:t>
      </w:r>
      <w:r w:rsidR="00373DC1">
        <w:t>omestic Abuse, Mental Health and Substance use.</w:t>
      </w:r>
      <w:r w:rsidR="00461D12">
        <w:t xml:space="preserve">- </w:t>
      </w:r>
      <w:r w:rsidR="00461D12" w:rsidRPr="00461D12">
        <w:rPr>
          <w:b/>
          <w:i/>
        </w:rPr>
        <w:t xml:space="preserve">Time and again, it seems that the combination of problems is much more likely to have a detrimental impact on children than a </w:t>
      </w:r>
      <w:r w:rsidR="00461D12">
        <w:rPr>
          <w:b/>
          <w:i/>
        </w:rPr>
        <w:t>parental disorder which exists i</w:t>
      </w:r>
      <w:r w:rsidR="00461D12" w:rsidRPr="00461D12">
        <w:rPr>
          <w:b/>
          <w:i/>
        </w:rPr>
        <w:t>n isolation – Cleaver et al 2011</w:t>
      </w:r>
    </w:p>
    <w:p w:rsidR="00242E80" w:rsidRDefault="00EC382B" w:rsidP="00242E80">
      <w:r>
        <w:rPr>
          <w:noProof/>
          <w:lang w:eastAsia="en-GB"/>
        </w:rPr>
        <w:drawing>
          <wp:anchor distT="0" distB="0" distL="114300" distR="114300" simplePos="0" relativeHeight="251661312" behindDoc="1" locked="0" layoutInCell="1" allowOverlap="1">
            <wp:simplePos x="0" y="0"/>
            <wp:positionH relativeFrom="column">
              <wp:posOffset>5304790</wp:posOffset>
            </wp:positionH>
            <wp:positionV relativeFrom="paragraph">
              <wp:posOffset>371313</wp:posOffset>
            </wp:positionV>
            <wp:extent cx="1306830" cy="988695"/>
            <wp:effectExtent l="0" t="0" r="0" b="0"/>
            <wp:wrapTight wrapText="bothSides">
              <wp:wrapPolygon edited="0">
                <wp:start x="8187" y="1665"/>
                <wp:lineTo x="6612" y="3329"/>
                <wp:lineTo x="6297" y="6659"/>
                <wp:lineTo x="6612" y="9156"/>
                <wp:lineTo x="8501" y="15815"/>
                <wp:lineTo x="8816" y="17896"/>
                <wp:lineTo x="11335" y="17896"/>
                <wp:lineTo x="12595" y="6243"/>
                <wp:lineTo x="11965" y="3329"/>
                <wp:lineTo x="10391" y="1665"/>
                <wp:lineTo x="8187" y="1665"/>
              </wp:wrapPolygon>
            </wp:wrapTight>
            <wp:docPr id="6" name="Picture 6" descr="http://2.bp.blogspot.com/--eio164QVC4/T0MVIPKwNEI/AAAAAAAAB9Q/sVSBBzI_UXg/s1600/stickman_s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bp.blogspot.com/--eio164QVC4/T0MVIPKwNEI/AAAAAAAAB9Q/sVSBBzI_UXg/s1600/stickman_sa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6830" cy="988695"/>
                    </a:xfrm>
                    <a:prstGeom prst="rect">
                      <a:avLst/>
                    </a:prstGeom>
                    <a:noFill/>
                    <a:ln>
                      <a:noFill/>
                    </a:ln>
                  </pic:spPr>
                </pic:pic>
              </a:graphicData>
            </a:graphic>
          </wp:anchor>
        </w:drawing>
      </w:r>
      <w:r w:rsidR="00373DC1">
        <w:t xml:space="preserve"> </w:t>
      </w:r>
      <w:r w:rsidR="00242E80">
        <w:t>A study by Brandon et al 2012, found that 86% of SCR contained one or more of these factors.  – The significance of these factors is well known, tha</w:t>
      </w:r>
      <w:r w:rsidR="00461D12">
        <w:t>t</w:t>
      </w:r>
      <w:r w:rsidR="00242E80">
        <w:t xml:space="preserve"> </w:t>
      </w:r>
      <w:r w:rsidR="00461D12">
        <w:t xml:space="preserve">said </w:t>
      </w:r>
      <w:r w:rsidR="00461D12" w:rsidRPr="00461D12">
        <w:rPr>
          <w:b/>
        </w:rPr>
        <w:t>6 of the 7</w:t>
      </w:r>
      <w:r w:rsidR="00461D12">
        <w:t xml:space="preserve"> </w:t>
      </w:r>
      <w:r w:rsidR="00242E80">
        <w:t>audits moderated were judged to be Inadequate with regards to the response and identification of risk.</w:t>
      </w:r>
      <w:r w:rsidR="00373DC1">
        <w:t xml:space="preserve"> </w:t>
      </w:r>
      <w:r w:rsidR="00212C2A">
        <w:t xml:space="preserve"> – This is a worry.</w:t>
      </w:r>
    </w:p>
    <w:p w:rsidR="00A25E21" w:rsidRPr="000833BA" w:rsidRDefault="00A25E21">
      <w:pPr>
        <w:rPr>
          <w:rFonts w:ascii="Comic Sans MS" w:hAnsi="Comic Sans MS"/>
          <w:b/>
        </w:rPr>
      </w:pPr>
      <w:r w:rsidRPr="000833BA">
        <w:rPr>
          <w:rFonts w:ascii="Comic Sans MS" w:hAnsi="Comic Sans MS"/>
          <w:b/>
        </w:rPr>
        <w:t>What are we worried about?</w:t>
      </w:r>
    </w:p>
    <w:p w:rsidR="00A25E21" w:rsidRDefault="00A25E21">
      <w:r>
        <w:t xml:space="preserve">Referrals were often viewed in isolation with little regard for family </w:t>
      </w:r>
      <w:r w:rsidR="00F21864">
        <w:t>history</w:t>
      </w:r>
      <w:r>
        <w:t xml:space="preserve"> or DASH reports.</w:t>
      </w:r>
    </w:p>
    <w:p w:rsidR="00536E96" w:rsidRDefault="00461D12">
      <w:r>
        <w:t>Trio f</w:t>
      </w:r>
      <w:r w:rsidR="00A25E21">
        <w:t xml:space="preserve">actors were viewed in isolation, losing the complexity in the </w:t>
      </w:r>
      <w:r>
        <w:t xml:space="preserve">interaction and </w:t>
      </w:r>
      <w:r w:rsidR="00A25E21">
        <w:t xml:space="preserve">dynamics between the </w:t>
      </w:r>
      <w:r>
        <w:t>factors</w:t>
      </w:r>
      <w:r w:rsidR="00536E96">
        <w:t>.</w:t>
      </w:r>
    </w:p>
    <w:p w:rsidR="00461D12" w:rsidRDefault="00405798" w:rsidP="003E73BA">
      <w:r>
        <w:t xml:space="preserve">Domestic abuse was often </w:t>
      </w:r>
      <w:r w:rsidR="00430D60">
        <w:t>viewed</w:t>
      </w:r>
      <w:r>
        <w:t xml:space="preserve"> as the main issue leading to inadequate assessment</w:t>
      </w:r>
      <w:r w:rsidR="00461D12">
        <w:t>s</w:t>
      </w:r>
      <w:r>
        <w:t xml:space="preserve"> of risk</w:t>
      </w:r>
      <w:r w:rsidR="00461D12">
        <w:t>.</w:t>
      </w:r>
      <w:r w:rsidR="00536E96">
        <w:t xml:space="preserve"> </w:t>
      </w:r>
    </w:p>
    <w:p w:rsidR="003E73BA" w:rsidRDefault="009F1422" w:rsidP="003E73BA">
      <w:r>
        <w:rPr>
          <w:noProof/>
          <w:lang w:eastAsia="en-GB"/>
        </w:rPr>
        <w:drawing>
          <wp:anchor distT="0" distB="0" distL="114300" distR="114300" simplePos="0" relativeHeight="251660288" behindDoc="0" locked="0" layoutInCell="1" allowOverlap="1">
            <wp:simplePos x="0" y="0"/>
            <wp:positionH relativeFrom="margin">
              <wp:posOffset>5092995</wp:posOffset>
            </wp:positionH>
            <wp:positionV relativeFrom="paragraph">
              <wp:posOffset>15845</wp:posOffset>
            </wp:positionV>
            <wp:extent cx="2164715" cy="1690178"/>
            <wp:effectExtent l="0" t="0" r="0" b="0"/>
            <wp:wrapNone/>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sidR="00461D12">
        <w:t>Impact on the child was lost. Auditors often found the voice but there was little analysis of this or their l</w:t>
      </w:r>
      <w:r w:rsidR="003E73BA">
        <w:t xml:space="preserve">ived </w:t>
      </w:r>
      <w:r w:rsidR="00461D12">
        <w:t>experience</w:t>
      </w:r>
      <w:r w:rsidR="00461D12" w:rsidRPr="009F1422">
        <w:rPr>
          <w:noProof/>
          <w:lang w:eastAsia="en-GB"/>
        </w:rPr>
        <w:t>.</w:t>
      </w:r>
    </w:p>
    <w:p w:rsidR="00212C2A" w:rsidRDefault="00373DC1" w:rsidP="00373DC1">
      <w:r>
        <w:t>Impact chronolo</w:t>
      </w:r>
      <w:r w:rsidR="00461D12">
        <w:t>gies were not consistently used</w:t>
      </w:r>
      <w:r>
        <w:t xml:space="preserve">, </w:t>
      </w:r>
      <w:r w:rsidR="00461D12">
        <w:t>this impacts</w:t>
      </w:r>
      <w:r>
        <w:t xml:space="preserve"> on the quality of </w:t>
      </w:r>
      <w:r w:rsidR="00461D12">
        <w:t>assessment and analysis of risk, and effective decision making. –</w:t>
      </w:r>
      <w:r w:rsidR="00212C2A">
        <w:t xml:space="preserve"> Decision making in these audits was judged to be Inadequate x 4 and Requires Improvement x 3.</w:t>
      </w:r>
      <w:r w:rsidR="00461D12">
        <w:t xml:space="preserve"> </w:t>
      </w:r>
    </w:p>
    <w:p w:rsidR="00373DC1" w:rsidRDefault="00EC382B" w:rsidP="00373DC1">
      <w:r>
        <w:rPr>
          <w:noProof/>
          <w:lang w:eastAsia="en-GB"/>
        </w:rPr>
        <w:drawing>
          <wp:anchor distT="0" distB="0" distL="114300" distR="114300" simplePos="0" relativeHeight="251663360" behindDoc="1" locked="0" layoutInCell="1" allowOverlap="1" wp14:anchorId="241356E3" wp14:editId="14F8FC8A">
            <wp:simplePos x="0" y="0"/>
            <wp:positionH relativeFrom="page">
              <wp:align>left</wp:align>
            </wp:positionH>
            <wp:positionV relativeFrom="paragraph">
              <wp:posOffset>844299</wp:posOffset>
            </wp:positionV>
            <wp:extent cx="1306830" cy="988695"/>
            <wp:effectExtent l="0" t="0" r="0" b="0"/>
            <wp:wrapTight wrapText="bothSides">
              <wp:wrapPolygon edited="0">
                <wp:start x="8187" y="1665"/>
                <wp:lineTo x="6612" y="3329"/>
                <wp:lineTo x="6297" y="6659"/>
                <wp:lineTo x="6612" y="9156"/>
                <wp:lineTo x="8501" y="15815"/>
                <wp:lineTo x="8816" y="17896"/>
                <wp:lineTo x="11335" y="17896"/>
                <wp:lineTo x="12595" y="6243"/>
                <wp:lineTo x="11965" y="3329"/>
                <wp:lineTo x="10391" y="1665"/>
                <wp:lineTo x="8187" y="1665"/>
              </wp:wrapPolygon>
            </wp:wrapTight>
            <wp:docPr id="5" name="Picture 5" descr="http://2.bp.blogspot.com/--eio164QVC4/T0MVIPKwNEI/AAAAAAAAB9Q/sVSBBzI_UXg/s1600/stickman_s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bp.blogspot.com/--eio164QVC4/T0MVIPKwNEI/AAAAAAAAB9Q/sVSBBzI_UXg/s1600/stickman_sa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6830" cy="988695"/>
                    </a:xfrm>
                    <a:prstGeom prst="rect">
                      <a:avLst/>
                    </a:prstGeom>
                    <a:noFill/>
                    <a:ln>
                      <a:noFill/>
                    </a:ln>
                  </pic:spPr>
                </pic:pic>
              </a:graphicData>
            </a:graphic>
          </wp:anchor>
        </w:drawing>
      </w:r>
      <w:r w:rsidR="00373DC1">
        <w:t>There was over optimism and over reliance on what was reported by the mother in terms of achieving safety due to the relationships ending and attending the Freedom Programme. On one case mother had attended the Freedom programme on 5 occasions, the analysis of how this led to safety was missing. On another case a mother was asked to self-refer and to request an assessment should the relationship resume. – the dynamic and fluid nature of risk was not understood.</w:t>
      </w:r>
    </w:p>
    <w:p w:rsidR="00373DC1" w:rsidRDefault="00373DC1" w:rsidP="00373DC1">
      <w:r>
        <w:t>There was a lack of professional scepticism present, particularly in relation to issues around disguised compliance and</w:t>
      </w:r>
      <w:r w:rsidR="00EC382B">
        <w:t xml:space="preserve"> the</w:t>
      </w:r>
      <w:r>
        <w:t xml:space="preserve"> triangulation of events and facts with other professionals.</w:t>
      </w:r>
    </w:p>
    <w:p w:rsidR="00EC382B" w:rsidRDefault="00373DC1" w:rsidP="00373DC1">
      <w:pPr>
        <w:rPr>
          <w:noProof/>
          <w:lang w:eastAsia="en-GB"/>
        </w:rPr>
      </w:pPr>
      <w:r>
        <w:t>The totality of risk and impact of the Trio on the child was not well evidenced, analysed or assessed within the assessments, plans or reviews. – Children appeared lost amidst the adult issues and there was little regard on outcomes for children into their adulthood.</w:t>
      </w:r>
      <w:r w:rsidR="00391705" w:rsidRPr="00391705">
        <w:rPr>
          <w:noProof/>
          <w:lang w:eastAsia="en-GB"/>
        </w:rPr>
        <w:t xml:space="preserve"> </w:t>
      </w:r>
      <w:r w:rsidR="00EC382B">
        <w:rPr>
          <w:noProof/>
          <w:lang w:eastAsia="en-GB"/>
        </w:rPr>
        <w:t>– ACES.</w:t>
      </w:r>
      <w:r w:rsidR="00EC382B" w:rsidRPr="00EC382B">
        <w:rPr>
          <w:noProof/>
          <w:lang w:eastAsia="en-GB"/>
        </w:rPr>
        <w:t xml:space="preserve"> </w:t>
      </w:r>
    </w:p>
    <w:p w:rsidR="00EC382B" w:rsidRDefault="00EC382B" w:rsidP="00373DC1">
      <w:pPr>
        <w:rPr>
          <w:noProof/>
          <w:lang w:eastAsia="en-GB"/>
        </w:rPr>
      </w:pPr>
      <w:r>
        <w:rPr>
          <w:noProof/>
          <w:lang w:eastAsia="en-GB"/>
        </w:rPr>
        <w:drawing>
          <wp:inline distT="0" distB="0" distL="0" distR="0" wp14:anchorId="5D97B9C5" wp14:editId="20BE930F">
            <wp:extent cx="6833235" cy="2371060"/>
            <wp:effectExtent l="0" t="0" r="5715" b="0"/>
            <wp:docPr id="3" name="Picture 3" descr="https://www.aaip.org/sites/aaip/uploads/images/aces/a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aaip.org/sites/aaip/uploads/images/aces/ace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67362" cy="2486999"/>
                    </a:xfrm>
                    <a:prstGeom prst="rect">
                      <a:avLst/>
                    </a:prstGeom>
                    <a:noFill/>
                    <a:ln>
                      <a:noFill/>
                    </a:ln>
                  </pic:spPr>
                </pic:pic>
              </a:graphicData>
            </a:graphic>
          </wp:inline>
        </w:drawing>
      </w:r>
    </w:p>
    <w:p w:rsidR="00EC382B" w:rsidRDefault="00EC382B" w:rsidP="00373DC1">
      <w:pPr>
        <w:rPr>
          <w:noProof/>
          <w:lang w:eastAsia="en-GB"/>
        </w:rPr>
      </w:pPr>
    </w:p>
    <w:p w:rsidR="00F21864" w:rsidRPr="000833BA" w:rsidRDefault="00650222">
      <w:pPr>
        <w:rPr>
          <w:rFonts w:ascii="Comic Sans MS" w:hAnsi="Comic Sans MS"/>
          <w:b/>
        </w:rPr>
      </w:pPr>
      <w:r>
        <w:rPr>
          <w:noProof/>
          <w:lang w:eastAsia="en-GB"/>
        </w:rPr>
        <w:drawing>
          <wp:anchor distT="0" distB="0" distL="114300" distR="114300" simplePos="0" relativeHeight="251665408" behindDoc="1" locked="0" layoutInCell="1" allowOverlap="1">
            <wp:simplePos x="0" y="0"/>
            <wp:positionH relativeFrom="margin">
              <wp:align>right</wp:align>
            </wp:positionH>
            <wp:positionV relativeFrom="paragraph">
              <wp:posOffset>0</wp:posOffset>
            </wp:positionV>
            <wp:extent cx="754380" cy="754380"/>
            <wp:effectExtent l="0" t="0" r="0" b="7620"/>
            <wp:wrapTight wrapText="bothSides">
              <wp:wrapPolygon edited="0">
                <wp:start x="7636" y="1091"/>
                <wp:lineTo x="4909" y="3273"/>
                <wp:lineTo x="1091" y="8727"/>
                <wp:lineTo x="3273" y="21273"/>
                <wp:lineTo x="18000" y="21273"/>
                <wp:lineTo x="18545" y="19636"/>
                <wp:lineTo x="20727" y="10909"/>
                <wp:lineTo x="20727" y="8727"/>
                <wp:lineTo x="16909" y="3273"/>
                <wp:lineTo x="14182" y="1091"/>
                <wp:lineTo x="7636" y="1091"/>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milie-933216_64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54380" cy="754380"/>
                    </a:xfrm>
                    <a:prstGeom prst="rect">
                      <a:avLst/>
                    </a:prstGeom>
                  </pic:spPr>
                </pic:pic>
              </a:graphicData>
            </a:graphic>
          </wp:anchor>
        </w:drawing>
      </w:r>
      <w:r w:rsidR="000833BA" w:rsidRPr="000833BA">
        <w:rPr>
          <w:rFonts w:ascii="Comic Sans MS" w:hAnsi="Comic Sans MS"/>
          <w:b/>
        </w:rPr>
        <w:t>What’s</w:t>
      </w:r>
      <w:r w:rsidR="00F21864" w:rsidRPr="000833BA">
        <w:rPr>
          <w:rFonts w:ascii="Comic Sans MS" w:hAnsi="Comic Sans MS"/>
          <w:b/>
        </w:rPr>
        <w:t xml:space="preserve"> working well?</w:t>
      </w:r>
      <w:r>
        <w:rPr>
          <w:rFonts w:ascii="Comic Sans MS" w:hAnsi="Comic Sans MS"/>
          <w:b/>
        </w:rPr>
        <w:t xml:space="preserve"> </w:t>
      </w:r>
    </w:p>
    <w:p w:rsidR="00F21864" w:rsidRDefault="00F21864">
      <w:r>
        <w:t xml:space="preserve">There was some evidence of excellent Signs and Safety </w:t>
      </w:r>
      <w:r w:rsidR="00E51450">
        <w:t>words</w:t>
      </w:r>
      <w:r>
        <w:t xml:space="preserve"> and </w:t>
      </w:r>
      <w:r w:rsidR="00E51450">
        <w:t>picture</w:t>
      </w:r>
      <w:r>
        <w:t xml:space="preserve"> work with children to help them understand events and what was happening in their lives</w:t>
      </w:r>
    </w:p>
    <w:p w:rsidR="00242E80" w:rsidRDefault="00242E80">
      <w:r>
        <w:t xml:space="preserve">Families actively participated in developing and owning </w:t>
      </w:r>
      <w:r w:rsidR="00EC382B">
        <w:t xml:space="preserve">the </w:t>
      </w:r>
      <w:r>
        <w:t>words and pictures</w:t>
      </w:r>
      <w:r w:rsidR="00EC382B">
        <w:t xml:space="preserve"> work</w:t>
      </w:r>
      <w:r>
        <w:t xml:space="preserve"> for</w:t>
      </w:r>
      <w:r w:rsidR="00EC382B">
        <w:t xml:space="preserve"> the </w:t>
      </w:r>
      <w:r>
        <w:t>children</w:t>
      </w:r>
      <w:r w:rsidR="00EC382B">
        <w:t>.</w:t>
      </w:r>
    </w:p>
    <w:p w:rsidR="00EC382B" w:rsidRDefault="00EC382B">
      <w:r>
        <w:t>Meaningful participation and partnership was evident in some families.</w:t>
      </w:r>
    </w:p>
    <w:p w:rsidR="00EC382B" w:rsidRDefault="00EC382B">
      <w:r>
        <w:t>There was evidence of sensitive child centred practice.</w:t>
      </w:r>
    </w:p>
    <w:p w:rsidR="00242E80" w:rsidRDefault="00242E80">
      <w:r>
        <w:t>Court was effectively used to provide children with permanence.</w:t>
      </w:r>
    </w:p>
    <w:p w:rsidR="003E73BA" w:rsidRDefault="00D54CEA">
      <w:r>
        <w:rPr>
          <w:noProof/>
          <w:lang w:eastAsia="en-GB"/>
        </w:rPr>
        <w:drawing>
          <wp:anchor distT="0" distB="0" distL="114300" distR="114300" simplePos="0" relativeHeight="251666432" behindDoc="1" locked="0" layoutInCell="1" allowOverlap="1">
            <wp:simplePos x="0" y="0"/>
            <wp:positionH relativeFrom="column">
              <wp:posOffset>5836920</wp:posOffset>
            </wp:positionH>
            <wp:positionV relativeFrom="paragraph">
              <wp:posOffset>244475</wp:posOffset>
            </wp:positionV>
            <wp:extent cx="1147445" cy="1222375"/>
            <wp:effectExtent l="0" t="0" r="0" b="0"/>
            <wp:wrapTight wrapText="bothSides">
              <wp:wrapPolygon edited="0">
                <wp:start x="0" y="0"/>
                <wp:lineTo x="0" y="21207"/>
                <wp:lineTo x="21158" y="21207"/>
                <wp:lineTo x="21158" y="0"/>
                <wp:lineTo x="0" y="0"/>
              </wp:wrapPolygon>
            </wp:wrapTight>
            <wp:docPr id="1" name="Picture 1" descr="https://cdn.techinasia.com/wp-content/uploads/2012/11/whats-next-m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techinasia.com/wp-content/uploads/2012/11/whats-next-mem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7445" cy="1222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73BA">
        <w:t>The quality</w:t>
      </w:r>
      <w:r w:rsidR="00EC382B">
        <w:t xml:space="preserve"> and timeliness of court work continues to be</w:t>
      </w:r>
      <w:r w:rsidR="003E73BA">
        <w:t xml:space="preserve"> recognised as a core strength.</w:t>
      </w:r>
    </w:p>
    <w:p w:rsidR="00A25E21" w:rsidRPr="000833BA" w:rsidRDefault="003E73BA">
      <w:pPr>
        <w:rPr>
          <w:rFonts w:ascii="Comic Sans MS" w:hAnsi="Comic Sans MS"/>
          <w:b/>
        </w:rPr>
      </w:pPr>
      <w:r w:rsidRPr="000833BA">
        <w:rPr>
          <w:rFonts w:ascii="Comic Sans MS" w:hAnsi="Comic Sans MS"/>
          <w:b/>
        </w:rPr>
        <w:t xml:space="preserve">So </w:t>
      </w:r>
      <w:r w:rsidR="000833BA" w:rsidRPr="000833BA">
        <w:rPr>
          <w:rFonts w:ascii="Comic Sans MS" w:hAnsi="Comic Sans MS"/>
          <w:b/>
        </w:rPr>
        <w:t>what’s</w:t>
      </w:r>
      <w:r w:rsidRPr="000833BA">
        <w:rPr>
          <w:rFonts w:ascii="Comic Sans MS" w:hAnsi="Comic Sans MS"/>
          <w:b/>
        </w:rPr>
        <w:t xml:space="preserve"> </w:t>
      </w:r>
      <w:r w:rsidR="00212C2A">
        <w:rPr>
          <w:rFonts w:ascii="Comic Sans MS" w:hAnsi="Comic Sans MS"/>
          <w:b/>
        </w:rPr>
        <w:t>next?</w:t>
      </w:r>
      <w:r w:rsidR="00D54CEA">
        <w:rPr>
          <w:rFonts w:ascii="Comic Sans MS" w:hAnsi="Comic Sans MS"/>
          <w:b/>
        </w:rPr>
        <w:t xml:space="preserve"> </w:t>
      </w:r>
    </w:p>
    <w:p w:rsidR="00E13E91" w:rsidRDefault="00242E80">
      <w:r>
        <w:t xml:space="preserve">We need to </w:t>
      </w:r>
    </w:p>
    <w:p w:rsidR="009F1422" w:rsidRDefault="009F1422" w:rsidP="00A96CAA">
      <w:pPr>
        <w:pStyle w:val="ListParagraph"/>
        <w:numPr>
          <w:ilvl w:val="0"/>
          <w:numId w:val="2"/>
        </w:numPr>
      </w:pPr>
      <w:r>
        <w:t>Ensure referrals consider history as well as the presenting information</w:t>
      </w:r>
    </w:p>
    <w:p w:rsidR="008E5C34" w:rsidRDefault="008E5C34" w:rsidP="00A96CAA">
      <w:pPr>
        <w:pStyle w:val="ListParagraph"/>
        <w:numPr>
          <w:ilvl w:val="0"/>
          <w:numId w:val="2"/>
        </w:numPr>
      </w:pPr>
      <w:r>
        <w:t>Be actively curious about other factors and use research to guide our practice</w:t>
      </w:r>
    </w:p>
    <w:p w:rsidR="00563F91" w:rsidRDefault="00E712ED" w:rsidP="00A96CAA">
      <w:pPr>
        <w:pStyle w:val="ListParagraph"/>
        <w:numPr>
          <w:ilvl w:val="0"/>
          <w:numId w:val="2"/>
        </w:numPr>
      </w:pPr>
      <w:r>
        <w:t>Provide active and e</w:t>
      </w:r>
      <w:r w:rsidR="00563F91">
        <w:t xml:space="preserve">arly intervention </w:t>
      </w:r>
      <w:r>
        <w:t xml:space="preserve">in order to </w:t>
      </w:r>
      <w:r w:rsidR="00563F91">
        <w:t>make a difference</w:t>
      </w:r>
      <w:r>
        <w:t xml:space="preserve"> – monitoring is not </w:t>
      </w:r>
      <w:r w:rsidR="00212C2A">
        <w:t xml:space="preserve">an </w:t>
      </w:r>
      <w:r>
        <w:t xml:space="preserve">effective </w:t>
      </w:r>
      <w:r w:rsidR="00212C2A">
        <w:t xml:space="preserve">form of </w:t>
      </w:r>
      <w:r>
        <w:t>intervention.</w:t>
      </w:r>
    </w:p>
    <w:p w:rsidR="00E13E91" w:rsidRDefault="00E13E91" w:rsidP="00A96CAA">
      <w:pPr>
        <w:pStyle w:val="ListParagraph"/>
        <w:numPr>
          <w:ilvl w:val="0"/>
          <w:numId w:val="2"/>
        </w:numPr>
      </w:pPr>
      <w:r>
        <w:t>Maintain our sight on</w:t>
      </w:r>
      <w:r w:rsidR="00536E96">
        <w:t xml:space="preserve"> the big picture</w:t>
      </w:r>
      <w:r>
        <w:t xml:space="preserve"> and not become distracted by small changes.</w:t>
      </w:r>
      <w:r w:rsidR="00563F91">
        <w:t xml:space="preserve"> –</w:t>
      </w:r>
      <w:r w:rsidR="00E712ED">
        <w:t xml:space="preserve"> A</w:t>
      </w:r>
      <w:r w:rsidR="00563F91">
        <w:t>pply optimism alongside healthy scepticism.</w:t>
      </w:r>
    </w:p>
    <w:p w:rsidR="00242E80" w:rsidRDefault="00E13E91" w:rsidP="00A96CAA">
      <w:pPr>
        <w:pStyle w:val="ListParagraph"/>
        <w:numPr>
          <w:ilvl w:val="0"/>
          <w:numId w:val="2"/>
        </w:numPr>
      </w:pPr>
      <w:r>
        <w:t>Keep the child at the centre of all assessments and plans, reflecting on the question so what does this mean for the child?</w:t>
      </w:r>
      <w:r w:rsidR="008E5C34">
        <w:t xml:space="preserve"> </w:t>
      </w:r>
    </w:p>
    <w:p w:rsidR="00A96CAA" w:rsidRDefault="00A96CAA" w:rsidP="00A96CAA">
      <w:pPr>
        <w:pStyle w:val="ListParagraph"/>
        <w:numPr>
          <w:ilvl w:val="0"/>
          <w:numId w:val="2"/>
        </w:numPr>
      </w:pPr>
      <w:r>
        <w:t xml:space="preserve">Apply equal weight to </w:t>
      </w:r>
      <w:r w:rsidR="000833BA">
        <w:t xml:space="preserve">the </w:t>
      </w:r>
      <w:r w:rsidR="00563F91">
        <w:t>Trio of</w:t>
      </w:r>
      <w:r>
        <w:t xml:space="preserve"> risk</w:t>
      </w:r>
      <w:r w:rsidR="008E5C34">
        <w:t xml:space="preserve"> factors </w:t>
      </w:r>
      <w:r w:rsidR="00563F91">
        <w:t>– co-existence is likely to exist even if its hidden</w:t>
      </w:r>
      <w:r>
        <w:t>.</w:t>
      </w:r>
    </w:p>
    <w:p w:rsidR="00A96CAA" w:rsidRDefault="00E13E91" w:rsidP="00A96CAA">
      <w:pPr>
        <w:pStyle w:val="ListParagraph"/>
        <w:numPr>
          <w:ilvl w:val="0"/>
          <w:numId w:val="2"/>
        </w:numPr>
      </w:pPr>
      <w:r>
        <w:t xml:space="preserve">Work with impact chronologies and </w:t>
      </w:r>
      <w:r w:rsidR="00A96CAA">
        <w:t>family histories</w:t>
      </w:r>
    </w:p>
    <w:p w:rsidR="00563F91" w:rsidRDefault="00A96CAA" w:rsidP="00A96CAA">
      <w:pPr>
        <w:pStyle w:val="ListParagraph"/>
        <w:numPr>
          <w:ilvl w:val="0"/>
          <w:numId w:val="2"/>
        </w:numPr>
      </w:pPr>
      <w:r>
        <w:t>H</w:t>
      </w:r>
      <w:r w:rsidR="00563F91">
        <w:t>ave braver and more robust conversations</w:t>
      </w:r>
      <w:r w:rsidR="00536E96">
        <w:t xml:space="preserve"> about difficult </w:t>
      </w:r>
      <w:r w:rsidR="00563F91">
        <w:t>issues.</w:t>
      </w:r>
    </w:p>
    <w:p w:rsidR="00563F91" w:rsidRDefault="00563F91" w:rsidP="00A96CAA">
      <w:pPr>
        <w:pStyle w:val="ListParagraph"/>
        <w:numPr>
          <w:ilvl w:val="0"/>
          <w:numId w:val="2"/>
        </w:numPr>
      </w:pPr>
      <w:r>
        <w:t>Be mindful to the fact that parental separation does not always generate safety. We need to work with families in a manner that reflects their culture and wishes.</w:t>
      </w:r>
    </w:p>
    <w:p w:rsidR="00A96CAA" w:rsidRDefault="00A96CAA" w:rsidP="00A96CAA">
      <w:pPr>
        <w:pStyle w:val="ListParagraph"/>
        <w:numPr>
          <w:ilvl w:val="0"/>
          <w:numId w:val="2"/>
        </w:numPr>
      </w:pPr>
      <w:r>
        <w:t>Seek collaborative ways of working with parents, extended families, other agencies and children.</w:t>
      </w:r>
    </w:p>
    <w:p w:rsidR="000833BA" w:rsidRDefault="000833BA" w:rsidP="00A96CAA">
      <w:pPr>
        <w:pStyle w:val="ListParagraph"/>
        <w:numPr>
          <w:ilvl w:val="0"/>
          <w:numId w:val="2"/>
        </w:numPr>
      </w:pPr>
      <w:r>
        <w:t>Identify strengths within the family network and incorporate these into a safety plan.</w:t>
      </w:r>
    </w:p>
    <w:p w:rsidR="00E712ED" w:rsidRDefault="00673405" w:rsidP="00A96CAA">
      <w:pPr>
        <w:pStyle w:val="ListParagraph"/>
        <w:numPr>
          <w:ilvl w:val="0"/>
          <w:numId w:val="2"/>
        </w:numPr>
      </w:pPr>
      <w:r>
        <w:t>Strengthen multi agency partnerships, remembering that everyone holds a different piece of the jigsaw which needs to be drawn together.</w:t>
      </w:r>
    </w:p>
    <w:p w:rsidR="00A96CAA" w:rsidRDefault="00A96CAA" w:rsidP="00A96CAA">
      <w:pPr>
        <w:pStyle w:val="ListParagraph"/>
        <w:numPr>
          <w:ilvl w:val="0"/>
          <w:numId w:val="2"/>
        </w:numPr>
      </w:pPr>
      <w:r>
        <w:t>Develop our methods and skills in working and communicating with children, they cannot be unseen or unheard.</w:t>
      </w:r>
    </w:p>
    <w:p w:rsidR="00563F91" w:rsidRDefault="00563F91" w:rsidP="00563F91">
      <w:pPr>
        <w:pStyle w:val="ListParagraph"/>
        <w:numPr>
          <w:ilvl w:val="0"/>
          <w:numId w:val="2"/>
        </w:numPr>
      </w:pPr>
      <w:r>
        <w:t>Develop a more ACE aware way of working which will enable our assessments and plans to reflect risks and what needs to be different in order to affect better future outcomes for children.</w:t>
      </w:r>
    </w:p>
    <w:p w:rsidR="009F1422" w:rsidRPr="00650222" w:rsidRDefault="009F1422" w:rsidP="009F1422">
      <w:pPr>
        <w:rPr>
          <w:rFonts w:ascii="Comic Sans MS" w:hAnsi="Comic Sans MS"/>
          <w:b/>
        </w:rPr>
      </w:pPr>
      <w:r w:rsidRPr="00650222">
        <w:rPr>
          <w:rFonts w:ascii="Comic Sans MS" w:hAnsi="Comic Sans MS"/>
          <w:b/>
        </w:rPr>
        <w:t xml:space="preserve">Useful Links </w:t>
      </w:r>
    </w:p>
    <w:p w:rsidR="009F1422" w:rsidRDefault="0004196F" w:rsidP="009F1422">
      <w:hyperlink r:id="rId21" w:history="1">
        <w:r w:rsidR="00ED541E" w:rsidRPr="00930319">
          <w:rPr>
            <w:rStyle w:val="Hyperlink"/>
          </w:rPr>
          <w:t>https://www1.bps.org.uk/system/files/user-files/Division%20of%20Clinical%20Psychology/public/ACES%20and%20social%20injustice%20_DCP%20SW.pdf</w:t>
        </w:r>
      </w:hyperlink>
      <w:r w:rsidR="00ED541E">
        <w:t xml:space="preserve">  Introduction to ACE’s</w:t>
      </w:r>
    </w:p>
    <w:p w:rsidR="00ED541E" w:rsidRDefault="0004196F" w:rsidP="009F1422">
      <w:hyperlink r:id="rId22" w:history="1">
        <w:r w:rsidR="00ED541E" w:rsidRPr="00930319">
          <w:rPr>
            <w:rStyle w:val="Hyperlink"/>
          </w:rPr>
          <w:t>https://www.communitycare.co.uk/2018/03/05/toxic-trio-social-workers-need-know/</w:t>
        </w:r>
      </w:hyperlink>
      <w:r w:rsidR="00ED541E">
        <w:t xml:space="preserve"> </w:t>
      </w:r>
      <w:r w:rsidR="00673405">
        <w:t xml:space="preserve"> - article</w:t>
      </w:r>
    </w:p>
    <w:p w:rsidR="00ED541E" w:rsidRDefault="0004196F" w:rsidP="009F1422">
      <w:hyperlink r:id="rId23" w:history="1">
        <w:r w:rsidR="00ED541E" w:rsidRPr="00930319">
          <w:rPr>
            <w:rStyle w:val="Hyperlink"/>
          </w:rPr>
          <w:t>https://ipc.brookes.ac.uk//docs/About%20IPC/News/Presentation%20to%20Community%20Care%20Live%202016%20Final%20Version%20May%202016.pdf</w:t>
        </w:r>
      </w:hyperlink>
      <w:r w:rsidR="00ED541E">
        <w:t xml:space="preserve"> </w:t>
      </w:r>
      <w:r w:rsidR="00673405">
        <w:t xml:space="preserve"> - research</w:t>
      </w:r>
    </w:p>
    <w:p w:rsidR="00ED541E" w:rsidRDefault="0004196F" w:rsidP="009F1422">
      <w:hyperlink r:id="rId24" w:history="1">
        <w:r w:rsidR="00673405" w:rsidRPr="00311352">
          <w:rPr>
            <w:rStyle w:val="Hyperlink"/>
          </w:rPr>
          <w:t>https://www.proceduresonline.com/southglos/cs/user_controlled_lcms_area/uploaded_files/Practice%20Tips%20-%20how%20to%20ask%20difficuilt%20questionis.docx</w:t>
        </w:r>
      </w:hyperlink>
      <w:r w:rsidR="00673405">
        <w:t xml:space="preserve">  - Tips</w:t>
      </w:r>
    </w:p>
    <w:p w:rsidR="00E13E91" w:rsidRDefault="00E13E91"/>
    <w:p w:rsidR="00E13E91" w:rsidRDefault="00E13E91"/>
    <w:sectPr w:rsidR="00E13E91" w:rsidSect="00EC382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96F" w:rsidRDefault="0004196F" w:rsidP="000833BA">
      <w:pPr>
        <w:spacing w:after="0" w:line="240" w:lineRule="auto"/>
      </w:pPr>
      <w:r>
        <w:separator/>
      </w:r>
    </w:p>
  </w:endnote>
  <w:endnote w:type="continuationSeparator" w:id="0">
    <w:p w:rsidR="0004196F" w:rsidRDefault="0004196F" w:rsidP="00083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96F" w:rsidRDefault="0004196F" w:rsidP="000833BA">
      <w:pPr>
        <w:spacing w:after="0" w:line="240" w:lineRule="auto"/>
      </w:pPr>
      <w:r>
        <w:separator/>
      </w:r>
    </w:p>
  </w:footnote>
  <w:footnote w:type="continuationSeparator" w:id="0">
    <w:p w:rsidR="0004196F" w:rsidRDefault="0004196F" w:rsidP="000833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1EEE"/>
    <w:multiLevelType w:val="hybridMultilevel"/>
    <w:tmpl w:val="90B4B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14C9E"/>
    <w:multiLevelType w:val="hybridMultilevel"/>
    <w:tmpl w:val="158A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69"/>
    <w:rsid w:val="000340B4"/>
    <w:rsid w:val="0004196F"/>
    <w:rsid w:val="000649B6"/>
    <w:rsid w:val="000833BA"/>
    <w:rsid w:val="001B67D5"/>
    <w:rsid w:val="00212C2A"/>
    <w:rsid w:val="00242E80"/>
    <w:rsid w:val="0030270E"/>
    <w:rsid w:val="00373DC1"/>
    <w:rsid w:val="00391705"/>
    <w:rsid w:val="003E73BA"/>
    <w:rsid w:val="00405798"/>
    <w:rsid w:val="00430D60"/>
    <w:rsid w:val="00461D12"/>
    <w:rsid w:val="00463B3C"/>
    <w:rsid w:val="00483E69"/>
    <w:rsid w:val="004A080C"/>
    <w:rsid w:val="004E75B5"/>
    <w:rsid w:val="004F4D3F"/>
    <w:rsid w:val="00536E96"/>
    <w:rsid w:val="00563F91"/>
    <w:rsid w:val="00650222"/>
    <w:rsid w:val="00673405"/>
    <w:rsid w:val="006B05C9"/>
    <w:rsid w:val="00766E8A"/>
    <w:rsid w:val="008755C3"/>
    <w:rsid w:val="008E5C34"/>
    <w:rsid w:val="008F1F13"/>
    <w:rsid w:val="008F6E26"/>
    <w:rsid w:val="009C12BA"/>
    <w:rsid w:val="009F1422"/>
    <w:rsid w:val="00A25E21"/>
    <w:rsid w:val="00A45682"/>
    <w:rsid w:val="00A96CAA"/>
    <w:rsid w:val="00B13B20"/>
    <w:rsid w:val="00C81C13"/>
    <w:rsid w:val="00D54CEA"/>
    <w:rsid w:val="00E13E91"/>
    <w:rsid w:val="00E51450"/>
    <w:rsid w:val="00E712ED"/>
    <w:rsid w:val="00EC382B"/>
    <w:rsid w:val="00ED541E"/>
    <w:rsid w:val="00F205EA"/>
    <w:rsid w:val="00F21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E1585-77CF-4F03-8DCF-6A15C070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0B4"/>
    <w:pPr>
      <w:ind w:left="720"/>
      <w:contextualSpacing/>
    </w:pPr>
  </w:style>
  <w:style w:type="paragraph" w:styleId="Header">
    <w:name w:val="header"/>
    <w:basedOn w:val="Normal"/>
    <w:link w:val="HeaderChar"/>
    <w:uiPriority w:val="99"/>
    <w:unhideWhenUsed/>
    <w:rsid w:val="000833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3BA"/>
  </w:style>
  <w:style w:type="paragraph" w:styleId="Footer">
    <w:name w:val="footer"/>
    <w:basedOn w:val="Normal"/>
    <w:link w:val="FooterChar"/>
    <w:uiPriority w:val="99"/>
    <w:unhideWhenUsed/>
    <w:rsid w:val="000833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3BA"/>
  </w:style>
  <w:style w:type="paragraph" w:styleId="BalloonText">
    <w:name w:val="Balloon Text"/>
    <w:basedOn w:val="Normal"/>
    <w:link w:val="BalloonTextChar"/>
    <w:uiPriority w:val="99"/>
    <w:semiHidden/>
    <w:unhideWhenUsed/>
    <w:rsid w:val="008F1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F13"/>
    <w:rPr>
      <w:rFonts w:ascii="Segoe UI" w:hAnsi="Segoe UI" w:cs="Segoe UI"/>
      <w:sz w:val="18"/>
      <w:szCs w:val="18"/>
    </w:rPr>
  </w:style>
  <w:style w:type="character" w:styleId="Hyperlink">
    <w:name w:val="Hyperlink"/>
    <w:basedOn w:val="DefaultParagraphFont"/>
    <w:uiPriority w:val="99"/>
    <w:unhideWhenUsed/>
    <w:rsid w:val="00ED54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1.bps.org.uk/system/files/user-files/Division%20of%20Clinical%20Psychology/public/ACES%20and%20social%20injustice%20_DCP%20SW.pdf" TargetMode="External"/><Relationship Id="rId7" Type="http://schemas.openxmlformats.org/officeDocument/2006/relationships/diagramData" Target="diagrams/data1.xml"/><Relationship Id="rId12" Type="http://schemas.openxmlformats.org/officeDocument/2006/relationships/image" Target="media/image1.png"/><Relationship Id="rId17" Type="http://schemas.microsoft.com/office/2007/relationships/diagramDrawing" Target="diagrams/drawing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hyperlink" Target="https://www.proceduresonline.com/southglos/cs/user_controlled_lcms_area/uploaded_files/Practice%20Tips%20-%20how%20to%20ask%20difficuilt%20questionis.docx" TargetMode="Externa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hyperlink" Target="https://ipc.brookes.ac.uk//docs/About%20IPC/News/Presentation%20to%20Community%20Care%20Live%202016%20Final%20Version%20May%202016.pdf" TargetMode="External"/><Relationship Id="rId10" Type="http://schemas.openxmlformats.org/officeDocument/2006/relationships/diagramColors" Target="diagrams/colors1.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Layout" Target="diagrams/layout2.xml"/><Relationship Id="rId22" Type="http://schemas.openxmlformats.org/officeDocument/2006/relationships/hyperlink" Target="https://www.communitycare.co.uk/2018/03/05/toxic-trio-social-workers-need-know/"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AA0167-472D-4181-8FBC-CBE553C1A432}" type="doc">
      <dgm:prSet loTypeId="urn:microsoft.com/office/officeart/2005/8/layout/venn1" loCatId="relationship" qsTypeId="urn:microsoft.com/office/officeart/2005/8/quickstyle/simple1" qsCatId="simple" csTypeId="urn:microsoft.com/office/officeart/2005/8/colors/accent1_2" csCatId="accent1" phldr="1"/>
      <dgm:spPr/>
    </dgm:pt>
    <dgm:pt modelId="{A3A16957-CEC1-4A77-B7E0-8D84E8CCE9B4}">
      <dgm:prSet phldrT="[Text]"/>
      <dgm:spPr/>
      <dgm:t>
        <a:bodyPr/>
        <a:lstStyle/>
        <a:p>
          <a:r>
            <a:rPr lang="en-GB"/>
            <a:t>family violence</a:t>
          </a:r>
        </a:p>
      </dgm:t>
    </dgm:pt>
    <dgm:pt modelId="{6765BCA9-1BD3-442A-AD10-5165CAEEB8F8}" type="parTrans" cxnId="{3D58FA16-19AF-409D-AC65-8371E86DE7A3}">
      <dgm:prSet/>
      <dgm:spPr/>
      <dgm:t>
        <a:bodyPr/>
        <a:lstStyle/>
        <a:p>
          <a:endParaRPr lang="en-GB"/>
        </a:p>
      </dgm:t>
    </dgm:pt>
    <dgm:pt modelId="{93FBC82C-3D07-4D3F-9C84-7776105E872D}" type="sibTrans" cxnId="{3D58FA16-19AF-409D-AC65-8371E86DE7A3}">
      <dgm:prSet/>
      <dgm:spPr/>
      <dgm:t>
        <a:bodyPr/>
        <a:lstStyle/>
        <a:p>
          <a:endParaRPr lang="en-GB"/>
        </a:p>
      </dgm:t>
    </dgm:pt>
    <dgm:pt modelId="{120F6DF0-F05F-442E-B678-94B77FAC7552}">
      <dgm:prSet phldrT="[Text]"/>
      <dgm:spPr/>
      <dgm:t>
        <a:bodyPr/>
        <a:lstStyle/>
        <a:p>
          <a:r>
            <a:rPr lang="en-GB"/>
            <a:t>family substance use</a:t>
          </a:r>
        </a:p>
      </dgm:t>
    </dgm:pt>
    <dgm:pt modelId="{E52B5286-3F9C-48E3-84D5-795A176C3A9B}" type="parTrans" cxnId="{B3A2D7B9-3F72-4219-840F-A000EFA4A9EE}">
      <dgm:prSet/>
      <dgm:spPr/>
      <dgm:t>
        <a:bodyPr/>
        <a:lstStyle/>
        <a:p>
          <a:endParaRPr lang="en-GB"/>
        </a:p>
      </dgm:t>
    </dgm:pt>
    <dgm:pt modelId="{9C73A708-B2F5-4A15-835F-3D394DF87712}" type="sibTrans" cxnId="{B3A2D7B9-3F72-4219-840F-A000EFA4A9EE}">
      <dgm:prSet/>
      <dgm:spPr/>
      <dgm:t>
        <a:bodyPr/>
        <a:lstStyle/>
        <a:p>
          <a:endParaRPr lang="en-GB"/>
        </a:p>
      </dgm:t>
    </dgm:pt>
    <dgm:pt modelId="{091B5FFB-D28E-494E-8362-12BAB95B2E19}">
      <dgm:prSet phldrT="[Text]"/>
      <dgm:spPr/>
      <dgm:t>
        <a:bodyPr/>
        <a:lstStyle/>
        <a:p>
          <a:r>
            <a:rPr lang="en-GB"/>
            <a:t>family ill mental health</a:t>
          </a:r>
        </a:p>
      </dgm:t>
    </dgm:pt>
    <dgm:pt modelId="{C7BD2DCF-8C5D-4F82-88F0-8C2511EFA298}" type="parTrans" cxnId="{C6B5DEDF-7E37-4056-A107-FC872C814549}">
      <dgm:prSet/>
      <dgm:spPr/>
      <dgm:t>
        <a:bodyPr/>
        <a:lstStyle/>
        <a:p>
          <a:endParaRPr lang="en-GB"/>
        </a:p>
      </dgm:t>
    </dgm:pt>
    <dgm:pt modelId="{C6A06B58-F67B-4B80-BA4E-74CF8AA74013}" type="sibTrans" cxnId="{C6B5DEDF-7E37-4056-A107-FC872C814549}">
      <dgm:prSet/>
      <dgm:spPr/>
      <dgm:t>
        <a:bodyPr/>
        <a:lstStyle/>
        <a:p>
          <a:endParaRPr lang="en-GB"/>
        </a:p>
      </dgm:t>
    </dgm:pt>
    <dgm:pt modelId="{04C78AFD-A670-42ED-9694-8554E06B7CC1}" type="pres">
      <dgm:prSet presAssocID="{A3AA0167-472D-4181-8FBC-CBE553C1A432}" presName="compositeShape" presStyleCnt="0">
        <dgm:presLayoutVars>
          <dgm:chMax val="7"/>
          <dgm:dir/>
          <dgm:resizeHandles val="exact"/>
        </dgm:presLayoutVars>
      </dgm:prSet>
      <dgm:spPr/>
    </dgm:pt>
    <dgm:pt modelId="{B2505FBC-AEB9-4A1A-B0F7-19A3837C2234}" type="pres">
      <dgm:prSet presAssocID="{A3A16957-CEC1-4A77-B7E0-8D84E8CCE9B4}" presName="circ1" presStyleLbl="vennNode1" presStyleIdx="0" presStyleCnt="3"/>
      <dgm:spPr/>
      <dgm:t>
        <a:bodyPr/>
        <a:lstStyle/>
        <a:p>
          <a:endParaRPr lang="en-GB"/>
        </a:p>
      </dgm:t>
    </dgm:pt>
    <dgm:pt modelId="{50BB54F0-7797-4D4D-8BDD-DDEA4C438B11}" type="pres">
      <dgm:prSet presAssocID="{A3A16957-CEC1-4A77-B7E0-8D84E8CCE9B4}" presName="circ1Tx" presStyleLbl="revTx" presStyleIdx="0" presStyleCnt="0">
        <dgm:presLayoutVars>
          <dgm:chMax val="0"/>
          <dgm:chPref val="0"/>
          <dgm:bulletEnabled val="1"/>
        </dgm:presLayoutVars>
      </dgm:prSet>
      <dgm:spPr/>
      <dgm:t>
        <a:bodyPr/>
        <a:lstStyle/>
        <a:p>
          <a:endParaRPr lang="en-GB"/>
        </a:p>
      </dgm:t>
    </dgm:pt>
    <dgm:pt modelId="{9BA4EB04-5CBF-4A02-A101-BA5CA5D57FEF}" type="pres">
      <dgm:prSet presAssocID="{120F6DF0-F05F-442E-B678-94B77FAC7552}" presName="circ2" presStyleLbl="vennNode1" presStyleIdx="1" presStyleCnt="3"/>
      <dgm:spPr/>
      <dgm:t>
        <a:bodyPr/>
        <a:lstStyle/>
        <a:p>
          <a:endParaRPr lang="en-GB"/>
        </a:p>
      </dgm:t>
    </dgm:pt>
    <dgm:pt modelId="{382D8DA3-A525-48C9-9AE1-B3CD9D9A9C3F}" type="pres">
      <dgm:prSet presAssocID="{120F6DF0-F05F-442E-B678-94B77FAC7552}" presName="circ2Tx" presStyleLbl="revTx" presStyleIdx="0" presStyleCnt="0">
        <dgm:presLayoutVars>
          <dgm:chMax val="0"/>
          <dgm:chPref val="0"/>
          <dgm:bulletEnabled val="1"/>
        </dgm:presLayoutVars>
      </dgm:prSet>
      <dgm:spPr/>
      <dgm:t>
        <a:bodyPr/>
        <a:lstStyle/>
        <a:p>
          <a:endParaRPr lang="en-GB"/>
        </a:p>
      </dgm:t>
    </dgm:pt>
    <dgm:pt modelId="{62058332-34BE-42C1-BF47-C67E154B6FD9}" type="pres">
      <dgm:prSet presAssocID="{091B5FFB-D28E-494E-8362-12BAB95B2E19}" presName="circ3" presStyleLbl="vennNode1" presStyleIdx="2" presStyleCnt="3"/>
      <dgm:spPr/>
      <dgm:t>
        <a:bodyPr/>
        <a:lstStyle/>
        <a:p>
          <a:endParaRPr lang="en-GB"/>
        </a:p>
      </dgm:t>
    </dgm:pt>
    <dgm:pt modelId="{52A7E7E3-A1DD-4A44-9985-CDCD606412B5}" type="pres">
      <dgm:prSet presAssocID="{091B5FFB-D28E-494E-8362-12BAB95B2E19}" presName="circ3Tx" presStyleLbl="revTx" presStyleIdx="0" presStyleCnt="0">
        <dgm:presLayoutVars>
          <dgm:chMax val="0"/>
          <dgm:chPref val="0"/>
          <dgm:bulletEnabled val="1"/>
        </dgm:presLayoutVars>
      </dgm:prSet>
      <dgm:spPr/>
      <dgm:t>
        <a:bodyPr/>
        <a:lstStyle/>
        <a:p>
          <a:endParaRPr lang="en-GB"/>
        </a:p>
      </dgm:t>
    </dgm:pt>
  </dgm:ptLst>
  <dgm:cxnLst>
    <dgm:cxn modelId="{C6B5DEDF-7E37-4056-A107-FC872C814549}" srcId="{A3AA0167-472D-4181-8FBC-CBE553C1A432}" destId="{091B5FFB-D28E-494E-8362-12BAB95B2E19}" srcOrd="2" destOrd="0" parTransId="{C7BD2DCF-8C5D-4F82-88F0-8C2511EFA298}" sibTransId="{C6A06B58-F67B-4B80-BA4E-74CF8AA74013}"/>
    <dgm:cxn modelId="{34284A81-C143-4A13-9A71-D98D7AAF5985}" type="presOf" srcId="{A3A16957-CEC1-4A77-B7E0-8D84E8CCE9B4}" destId="{50BB54F0-7797-4D4D-8BDD-DDEA4C438B11}" srcOrd="1" destOrd="0" presId="urn:microsoft.com/office/officeart/2005/8/layout/venn1"/>
    <dgm:cxn modelId="{D1908D98-D00B-4128-9640-1C0225E234FD}" type="presOf" srcId="{120F6DF0-F05F-442E-B678-94B77FAC7552}" destId="{9BA4EB04-5CBF-4A02-A101-BA5CA5D57FEF}" srcOrd="0" destOrd="0" presId="urn:microsoft.com/office/officeart/2005/8/layout/venn1"/>
    <dgm:cxn modelId="{878B0543-82EC-4D99-835C-C13E1B1E5957}" type="presOf" srcId="{120F6DF0-F05F-442E-B678-94B77FAC7552}" destId="{382D8DA3-A525-48C9-9AE1-B3CD9D9A9C3F}" srcOrd="1" destOrd="0" presId="urn:microsoft.com/office/officeart/2005/8/layout/venn1"/>
    <dgm:cxn modelId="{B3A2D7B9-3F72-4219-840F-A000EFA4A9EE}" srcId="{A3AA0167-472D-4181-8FBC-CBE553C1A432}" destId="{120F6DF0-F05F-442E-B678-94B77FAC7552}" srcOrd="1" destOrd="0" parTransId="{E52B5286-3F9C-48E3-84D5-795A176C3A9B}" sibTransId="{9C73A708-B2F5-4A15-835F-3D394DF87712}"/>
    <dgm:cxn modelId="{5C2DE1AD-DC8D-44E5-BDE2-FCC76D846B13}" type="presOf" srcId="{A3AA0167-472D-4181-8FBC-CBE553C1A432}" destId="{04C78AFD-A670-42ED-9694-8554E06B7CC1}" srcOrd="0" destOrd="0" presId="urn:microsoft.com/office/officeart/2005/8/layout/venn1"/>
    <dgm:cxn modelId="{84DD99D4-1D6A-4DCC-9052-C00E8E0B5766}" type="presOf" srcId="{A3A16957-CEC1-4A77-B7E0-8D84E8CCE9B4}" destId="{B2505FBC-AEB9-4A1A-B0F7-19A3837C2234}" srcOrd="0" destOrd="0" presId="urn:microsoft.com/office/officeart/2005/8/layout/venn1"/>
    <dgm:cxn modelId="{3D58FA16-19AF-409D-AC65-8371E86DE7A3}" srcId="{A3AA0167-472D-4181-8FBC-CBE553C1A432}" destId="{A3A16957-CEC1-4A77-B7E0-8D84E8CCE9B4}" srcOrd="0" destOrd="0" parTransId="{6765BCA9-1BD3-442A-AD10-5165CAEEB8F8}" sibTransId="{93FBC82C-3D07-4D3F-9C84-7776105E872D}"/>
    <dgm:cxn modelId="{DA1434AF-FC98-452A-BDD2-A7C7679A755B}" type="presOf" srcId="{091B5FFB-D28E-494E-8362-12BAB95B2E19}" destId="{62058332-34BE-42C1-BF47-C67E154B6FD9}" srcOrd="0" destOrd="0" presId="urn:microsoft.com/office/officeart/2005/8/layout/venn1"/>
    <dgm:cxn modelId="{3FFA2DDE-CDA0-40D5-B3E7-157B9681A93A}" type="presOf" srcId="{091B5FFB-D28E-494E-8362-12BAB95B2E19}" destId="{52A7E7E3-A1DD-4A44-9985-CDCD606412B5}" srcOrd="1" destOrd="0" presId="urn:microsoft.com/office/officeart/2005/8/layout/venn1"/>
    <dgm:cxn modelId="{14E24F41-5998-452D-AF48-630C9C44FAD0}" type="presParOf" srcId="{04C78AFD-A670-42ED-9694-8554E06B7CC1}" destId="{B2505FBC-AEB9-4A1A-B0F7-19A3837C2234}" srcOrd="0" destOrd="0" presId="urn:microsoft.com/office/officeart/2005/8/layout/venn1"/>
    <dgm:cxn modelId="{B99F2187-47A4-4689-926F-9E8C708998AC}" type="presParOf" srcId="{04C78AFD-A670-42ED-9694-8554E06B7CC1}" destId="{50BB54F0-7797-4D4D-8BDD-DDEA4C438B11}" srcOrd="1" destOrd="0" presId="urn:microsoft.com/office/officeart/2005/8/layout/venn1"/>
    <dgm:cxn modelId="{0B812703-23D2-4D57-AF94-CFF776D80D7F}" type="presParOf" srcId="{04C78AFD-A670-42ED-9694-8554E06B7CC1}" destId="{9BA4EB04-5CBF-4A02-A101-BA5CA5D57FEF}" srcOrd="2" destOrd="0" presId="urn:microsoft.com/office/officeart/2005/8/layout/venn1"/>
    <dgm:cxn modelId="{FDAFDCF1-A72C-4726-BB6C-DAFCD316059F}" type="presParOf" srcId="{04C78AFD-A670-42ED-9694-8554E06B7CC1}" destId="{382D8DA3-A525-48C9-9AE1-B3CD9D9A9C3F}" srcOrd="3" destOrd="0" presId="urn:microsoft.com/office/officeart/2005/8/layout/venn1"/>
    <dgm:cxn modelId="{1853289D-A39D-44B4-8F69-AC6A92228224}" type="presParOf" srcId="{04C78AFD-A670-42ED-9694-8554E06B7CC1}" destId="{62058332-34BE-42C1-BF47-C67E154B6FD9}" srcOrd="4" destOrd="0" presId="urn:microsoft.com/office/officeart/2005/8/layout/venn1"/>
    <dgm:cxn modelId="{59A2603B-B533-4EFE-88DA-647712359CE8}" type="presParOf" srcId="{04C78AFD-A670-42ED-9694-8554E06B7CC1}" destId="{52A7E7E3-A1DD-4A44-9985-CDCD606412B5}" srcOrd="5" destOrd="0" presId="urn:microsoft.com/office/officeart/2005/8/layout/ven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C6FA2E9-0D27-465B-A253-349E45DCEBCD}" type="doc">
      <dgm:prSet loTypeId="urn:microsoft.com/office/officeart/2005/8/layout/venn1" loCatId="relationship" qsTypeId="urn:microsoft.com/office/officeart/2005/8/quickstyle/simple1" qsCatId="simple" csTypeId="urn:microsoft.com/office/officeart/2005/8/colors/accent1_2" csCatId="accent1" phldr="1"/>
      <dgm:spPr/>
    </dgm:pt>
    <dgm:pt modelId="{8C94FADA-59AD-407F-806A-091329ACD6CE}" type="pres">
      <dgm:prSet presAssocID="{8C6FA2E9-0D27-465B-A253-349E45DCEBCD}" presName="compositeShape" presStyleCnt="0">
        <dgm:presLayoutVars>
          <dgm:chMax val="7"/>
          <dgm:dir/>
          <dgm:resizeHandles val="exact"/>
        </dgm:presLayoutVars>
      </dgm:prSet>
      <dgm:spPr/>
    </dgm:pt>
  </dgm:ptLst>
  <dgm:cxnLst>
    <dgm:cxn modelId="{EDEA93CC-E2FF-4E41-B558-20E6C06051D2}" type="presOf" srcId="{8C6FA2E9-0D27-465B-A253-349E45DCEBCD}" destId="{8C94FADA-59AD-407F-806A-091329ACD6CE}" srcOrd="0" destOrd="0" presId="urn:microsoft.com/office/officeart/2005/8/layout/ven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505FBC-AEB9-4A1A-B0F7-19A3837C2234}">
      <dsp:nvSpPr>
        <dsp:cNvPr id="0" name=""/>
        <dsp:cNvSpPr/>
      </dsp:nvSpPr>
      <dsp:spPr>
        <a:xfrm>
          <a:off x="339216" y="11556"/>
          <a:ext cx="554736" cy="554736"/>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r>
            <a:rPr lang="en-GB" sz="600" kern="1200"/>
            <a:t>family violence</a:t>
          </a:r>
        </a:p>
      </dsp:txBody>
      <dsp:txXfrm>
        <a:off x="413181" y="108635"/>
        <a:ext cx="406806" cy="249631"/>
      </dsp:txXfrm>
    </dsp:sp>
    <dsp:sp modelId="{9BA4EB04-5CBF-4A02-A101-BA5CA5D57FEF}">
      <dsp:nvSpPr>
        <dsp:cNvPr id="0" name=""/>
        <dsp:cNvSpPr/>
      </dsp:nvSpPr>
      <dsp:spPr>
        <a:xfrm>
          <a:off x="539384" y="358267"/>
          <a:ext cx="554736" cy="554736"/>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r>
            <a:rPr lang="en-GB" sz="600" kern="1200"/>
            <a:t>family substance use</a:t>
          </a:r>
        </a:p>
      </dsp:txBody>
      <dsp:txXfrm>
        <a:off x="709040" y="501573"/>
        <a:ext cx="332841" cy="305104"/>
      </dsp:txXfrm>
    </dsp:sp>
    <dsp:sp modelId="{62058332-34BE-42C1-BF47-C67E154B6FD9}">
      <dsp:nvSpPr>
        <dsp:cNvPr id="0" name=""/>
        <dsp:cNvSpPr/>
      </dsp:nvSpPr>
      <dsp:spPr>
        <a:xfrm>
          <a:off x="139049" y="358267"/>
          <a:ext cx="554736" cy="554736"/>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r>
            <a:rPr lang="en-GB" sz="600" kern="1200"/>
            <a:t>family ill mental health</a:t>
          </a:r>
        </a:p>
      </dsp:txBody>
      <dsp:txXfrm>
        <a:off x="191287" y="501573"/>
        <a:ext cx="332841" cy="30510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1</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Fraser</dc:creator>
  <cp:keywords/>
  <dc:description/>
  <cp:lastModifiedBy>Linda Fraser</cp:lastModifiedBy>
  <cp:revision>11</cp:revision>
  <cp:lastPrinted>2019-10-09T08:29:00Z</cp:lastPrinted>
  <dcterms:created xsi:type="dcterms:W3CDTF">2019-10-07T15:55:00Z</dcterms:created>
  <dcterms:modified xsi:type="dcterms:W3CDTF">2019-10-09T12:06:00Z</dcterms:modified>
</cp:coreProperties>
</file>