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E18" w:rsidRPr="00C2264F" w:rsidRDefault="00CD3E18" w:rsidP="00CD3E18">
      <w:pPr>
        <w:tabs>
          <w:tab w:val="left" w:pos="5392"/>
        </w:tabs>
        <w:jc w:val="both"/>
        <w:rPr>
          <w:rFonts w:asciiTheme="majorHAnsi" w:eastAsiaTheme="majorEastAsia" w:hAnsiTheme="majorHAnsi" w:cstheme="majorBidi"/>
          <w:b/>
          <w:color w:val="323E4F" w:themeColor="text2" w:themeShade="BF"/>
          <w:spacing w:val="5"/>
          <w:kern w:val="28"/>
          <w:sz w:val="40"/>
          <w:szCs w:val="40"/>
        </w:rPr>
      </w:pPr>
      <w:r w:rsidRPr="00C2264F">
        <w:rPr>
          <w:rFonts w:asciiTheme="majorHAnsi" w:eastAsiaTheme="majorEastAsia" w:hAnsiTheme="majorHAnsi" w:cstheme="majorBidi"/>
          <w:b/>
          <w:color w:val="323E4F" w:themeColor="text2" w:themeShade="BF"/>
          <w:spacing w:val="5"/>
          <w:kern w:val="28"/>
          <w:sz w:val="40"/>
          <w:szCs w:val="40"/>
        </w:rPr>
        <w:t>Safety House Tool:</w:t>
      </w:r>
    </w:p>
    <w:p w:rsidR="00CD3E18" w:rsidRPr="005A5BB4" w:rsidRDefault="00CD3E18" w:rsidP="00CD3E18">
      <w:pPr>
        <w:tabs>
          <w:tab w:val="left" w:pos="5392"/>
        </w:tabs>
        <w:jc w:val="both"/>
        <w:rPr>
          <w:rFonts w:asciiTheme="majorHAnsi" w:hAnsiTheme="majorHAnsi"/>
          <w:sz w:val="24"/>
          <w:szCs w:val="24"/>
        </w:rPr>
      </w:pPr>
      <w:r w:rsidRPr="005A5BB4">
        <w:rPr>
          <w:rFonts w:asciiTheme="majorHAnsi" w:hAnsiTheme="majorHAnsi"/>
          <w:sz w:val="24"/>
          <w:szCs w:val="24"/>
        </w:rPr>
        <w:t>The safety house was created original</w:t>
      </w:r>
      <w:r>
        <w:rPr>
          <w:rFonts w:asciiTheme="majorHAnsi" w:hAnsiTheme="majorHAnsi"/>
          <w:sz w:val="24"/>
          <w:szCs w:val="24"/>
        </w:rPr>
        <w:t>ly by Sonja Parker (Parker, 2009, cited by Turnell, A, 2013). T</w:t>
      </w:r>
      <w:r w:rsidRPr="005A5BB4">
        <w:rPr>
          <w:rFonts w:asciiTheme="majorHAnsi" w:hAnsiTheme="majorHAnsi"/>
          <w:sz w:val="24"/>
          <w:szCs w:val="24"/>
        </w:rPr>
        <w:t>his is a tool used to work with children to explore what it would feel like/look like to live in a home that they feel safe.  Thi</w:t>
      </w:r>
      <w:r>
        <w:rPr>
          <w:rFonts w:asciiTheme="majorHAnsi" w:hAnsiTheme="majorHAnsi"/>
          <w:sz w:val="24"/>
          <w:szCs w:val="24"/>
        </w:rPr>
        <w:t>s allows children to talk about/</w:t>
      </w:r>
      <w:r w:rsidRPr="005A5BB4">
        <w:rPr>
          <w:rFonts w:asciiTheme="majorHAnsi" w:hAnsiTheme="majorHAnsi"/>
          <w:sz w:val="24"/>
          <w:szCs w:val="24"/>
        </w:rPr>
        <w:t>draw what makes them feel safe.</w:t>
      </w:r>
    </w:p>
    <w:p w:rsidR="00CD3E18" w:rsidRPr="005A5BB4" w:rsidRDefault="00CD3E18" w:rsidP="00CD3E18">
      <w:pPr>
        <w:tabs>
          <w:tab w:val="left" w:pos="5392"/>
        </w:tabs>
        <w:jc w:val="both"/>
        <w:rPr>
          <w:rFonts w:asciiTheme="majorHAnsi" w:hAnsiTheme="majorHAnsi"/>
          <w:sz w:val="24"/>
          <w:szCs w:val="24"/>
        </w:rPr>
      </w:pPr>
      <w:r w:rsidRPr="005A5BB4">
        <w:rPr>
          <w:rFonts w:asciiTheme="majorHAnsi" w:hAnsiTheme="majorHAnsi"/>
          <w:sz w:val="24"/>
          <w:szCs w:val="24"/>
        </w:rPr>
        <w:t>The areas of the house are broken down to capture the child’s thoughts and feelings around the following areas:</w:t>
      </w:r>
    </w:p>
    <w:p w:rsidR="00CD3E18" w:rsidRPr="005A5BB4" w:rsidRDefault="00CD3E18" w:rsidP="00CD3E18">
      <w:pPr>
        <w:pStyle w:val="ListParagraph"/>
        <w:numPr>
          <w:ilvl w:val="0"/>
          <w:numId w:val="1"/>
        </w:numPr>
        <w:tabs>
          <w:tab w:val="left" w:pos="5392"/>
        </w:tabs>
        <w:jc w:val="both"/>
        <w:rPr>
          <w:rFonts w:asciiTheme="majorHAnsi" w:hAnsiTheme="majorHAnsi"/>
          <w:sz w:val="24"/>
          <w:szCs w:val="24"/>
        </w:rPr>
      </w:pPr>
      <w:r w:rsidRPr="005A5BB4">
        <w:rPr>
          <w:rFonts w:asciiTheme="majorHAnsi" w:hAnsiTheme="majorHAnsi"/>
          <w:b/>
          <w:sz w:val="24"/>
          <w:szCs w:val="24"/>
        </w:rPr>
        <w:t>People who live in the safety house:</w:t>
      </w:r>
      <w:r w:rsidRPr="005A5BB4">
        <w:rPr>
          <w:rFonts w:asciiTheme="majorHAnsi" w:hAnsiTheme="majorHAnsi"/>
          <w:sz w:val="24"/>
          <w:szCs w:val="24"/>
        </w:rPr>
        <w:t xml:space="preserve"> This allows the child to think about people that they feel safe to live in their safety house and depending on age and understanding of child; you can speak about what life would be like for them in the safety house.  This enables you to capture those adults they feel safe with and the routines/activities that are important to them.</w:t>
      </w:r>
    </w:p>
    <w:p w:rsidR="00CD3E18" w:rsidRPr="005A5BB4" w:rsidRDefault="00CD3E18" w:rsidP="00CD3E18">
      <w:pPr>
        <w:pStyle w:val="ListParagraph"/>
        <w:numPr>
          <w:ilvl w:val="0"/>
          <w:numId w:val="1"/>
        </w:numPr>
        <w:tabs>
          <w:tab w:val="left" w:pos="5392"/>
        </w:tabs>
        <w:jc w:val="both"/>
        <w:rPr>
          <w:rFonts w:asciiTheme="majorHAnsi" w:hAnsiTheme="majorHAnsi"/>
          <w:sz w:val="24"/>
          <w:szCs w:val="24"/>
        </w:rPr>
      </w:pPr>
      <w:r w:rsidRPr="005A5BB4">
        <w:rPr>
          <w:rFonts w:asciiTheme="majorHAnsi" w:hAnsiTheme="majorHAnsi"/>
          <w:b/>
          <w:sz w:val="24"/>
          <w:szCs w:val="24"/>
        </w:rPr>
        <w:t>People who can visit the safety house and what they do to make it feel safe:</w:t>
      </w:r>
      <w:r w:rsidRPr="005A5BB4">
        <w:rPr>
          <w:rFonts w:asciiTheme="majorHAnsi" w:hAnsiTheme="majorHAnsi"/>
          <w:sz w:val="24"/>
          <w:szCs w:val="24"/>
        </w:rPr>
        <w:t xml:space="preserve"> This encourages the child to speak about people in their life that they would like to be involved and they feel safe to allow into their safety house. It asks the child about what they think they could do to make things safer for them, or what they do already. This helps with capturing child’s wider safety network and people that are important to them. </w:t>
      </w:r>
    </w:p>
    <w:p w:rsidR="00CD3E18" w:rsidRPr="005A5BB4" w:rsidRDefault="00CD3E18" w:rsidP="00CD3E18">
      <w:pPr>
        <w:pStyle w:val="ListParagraph"/>
        <w:numPr>
          <w:ilvl w:val="0"/>
          <w:numId w:val="1"/>
        </w:numPr>
        <w:tabs>
          <w:tab w:val="left" w:pos="5392"/>
        </w:tabs>
        <w:jc w:val="both"/>
        <w:rPr>
          <w:rFonts w:asciiTheme="majorHAnsi" w:hAnsiTheme="majorHAnsi"/>
          <w:sz w:val="24"/>
          <w:szCs w:val="24"/>
        </w:rPr>
      </w:pPr>
      <w:r w:rsidRPr="005A5BB4">
        <w:rPr>
          <w:rFonts w:asciiTheme="majorHAnsi" w:hAnsiTheme="majorHAnsi"/>
          <w:b/>
          <w:sz w:val="24"/>
          <w:szCs w:val="24"/>
        </w:rPr>
        <w:t>People I don’t feel safe with:</w:t>
      </w:r>
      <w:r w:rsidRPr="005A5BB4">
        <w:rPr>
          <w:rFonts w:asciiTheme="majorHAnsi" w:hAnsiTheme="majorHAnsi"/>
          <w:sz w:val="24"/>
          <w:szCs w:val="24"/>
        </w:rPr>
        <w:t xml:space="preserve"> This question allows the child to talk about anyone that they don’t feel safe with and what behaviours they are doing that are making them feel unsafe. </w:t>
      </w:r>
    </w:p>
    <w:p w:rsidR="00CD3E18" w:rsidRPr="005A5BB4" w:rsidRDefault="00CD3E18" w:rsidP="00CD3E18">
      <w:pPr>
        <w:pStyle w:val="ListParagraph"/>
        <w:numPr>
          <w:ilvl w:val="0"/>
          <w:numId w:val="1"/>
        </w:numPr>
        <w:tabs>
          <w:tab w:val="left" w:pos="5392"/>
        </w:tabs>
        <w:jc w:val="both"/>
        <w:rPr>
          <w:rFonts w:asciiTheme="majorHAnsi" w:hAnsiTheme="majorHAnsi"/>
          <w:sz w:val="24"/>
          <w:szCs w:val="24"/>
        </w:rPr>
      </w:pPr>
      <w:r w:rsidRPr="005A5BB4">
        <w:rPr>
          <w:rFonts w:asciiTheme="majorHAnsi" w:hAnsiTheme="majorHAnsi"/>
          <w:b/>
          <w:sz w:val="24"/>
          <w:szCs w:val="24"/>
        </w:rPr>
        <w:t>Rules of the safety house:</w:t>
      </w:r>
      <w:r w:rsidRPr="005A5BB4">
        <w:rPr>
          <w:rFonts w:asciiTheme="majorHAnsi" w:hAnsiTheme="majorHAnsi"/>
          <w:sz w:val="24"/>
          <w:szCs w:val="24"/>
        </w:rPr>
        <w:t xml:space="preserve"> Following on from when they don’t feel safe, the activity encourages the child to think about which rules they would have in their safety house, that will make them feel safe. Children get the chance to choose rules that might keep everybody safe and these can be used to influence the child and families safety plan in real life. </w:t>
      </w:r>
    </w:p>
    <w:p w:rsidR="00CD3E18" w:rsidRPr="005A5BB4" w:rsidRDefault="00CD3E18" w:rsidP="00CD3E18">
      <w:pPr>
        <w:pStyle w:val="ListParagraph"/>
        <w:numPr>
          <w:ilvl w:val="0"/>
          <w:numId w:val="1"/>
        </w:numPr>
        <w:tabs>
          <w:tab w:val="left" w:pos="5392"/>
        </w:tabs>
        <w:jc w:val="both"/>
        <w:rPr>
          <w:rFonts w:asciiTheme="majorHAnsi" w:hAnsiTheme="majorHAnsi"/>
          <w:sz w:val="24"/>
          <w:szCs w:val="24"/>
        </w:rPr>
      </w:pPr>
      <w:r w:rsidRPr="005A5BB4">
        <w:rPr>
          <w:rFonts w:asciiTheme="majorHAnsi" w:hAnsiTheme="majorHAnsi"/>
          <w:b/>
          <w:sz w:val="24"/>
          <w:szCs w:val="24"/>
        </w:rPr>
        <w:t>Path to the safety house:</w:t>
      </w:r>
      <w:r w:rsidRPr="005A5BB4">
        <w:rPr>
          <w:rFonts w:asciiTheme="majorHAnsi" w:hAnsiTheme="majorHAnsi"/>
          <w:sz w:val="24"/>
          <w:szCs w:val="24"/>
        </w:rPr>
        <w:t xml:space="preserve"> This path can be used as a way to discuss ways to re-introduce people or things to the safety house, and the child’s rules around this. It is a way to talk about how ready they are re-introduce people and how they can do it in a way that makes them feel safe.  </w:t>
      </w:r>
    </w:p>
    <w:p w:rsidR="00CD3E18" w:rsidRPr="005A5BB4" w:rsidRDefault="00CD3E18" w:rsidP="00CD3E18">
      <w:pPr>
        <w:tabs>
          <w:tab w:val="left" w:pos="5392"/>
        </w:tabs>
        <w:jc w:val="both"/>
        <w:rPr>
          <w:rFonts w:asciiTheme="majorHAnsi" w:hAnsiTheme="majorHAnsi"/>
          <w:sz w:val="24"/>
          <w:szCs w:val="24"/>
        </w:rPr>
      </w:pPr>
      <w:r w:rsidRPr="005A5BB4">
        <w:rPr>
          <w:rFonts w:asciiTheme="majorHAnsi" w:hAnsiTheme="majorHAnsi"/>
          <w:sz w:val="24"/>
          <w:szCs w:val="24"/>
        </w:rPr>
        <w:t xml:space="preserve">On the next page I have completed an example of the safety house, which could have been completed with Jack (from the Case study family). It allows you to see how this tool could be used and also some ideas of how it allows the worker to understand what life is like for Jack at home and the things that he feels worried about and that make him feel unsafe. This information can then be shared with the child’s safety network to allow them to create a plan for Jack and his family to be able to keep them all feeling safe and happy. It enables the family to hear his voice and understand how the worries/ behaviours are making him feel. It also allows Jack to be central to the plans that will affect his life and empower him to understand that his voice and feelings matter. </w:t>
      </w:r>
    </w:p>
    <w:p w:rsidR="002534E6" w:rsidRDefault="00CD3E18">
      <w:r w:rsidRPr="00C2264F">
        <w:rPr>
          <w:rFonts w:asciiTheme="majorHAnsi" w:eastAsiaTheme="majorEastAsia" w:hAnsiTheme="majorHAnsi" w:cstheme="majorBidi"/>
          <w:b/>
          <w:noProof/>
          <w:color w:val="323E4F" w:themeColor="text2" w:themeShade="BF"/>
          <w:spacing w:val="5"/>
          <w:kern w:val="28"/>
          <w:sz w:val="40"/>
          <w:szCs w:val="40"/>
          <w:lang w:eastAsia="en-GB"/>
        </w:rPr>
        <w:lastRenderedPageBreak/>
        <w:drawing>
          <wp:anchor distT="36576" distB="36576" distL="36576" distR="36576" simplePos="0" relativeHeight="251659264" behindDoc="0" locked="0" layoutInCell="1" allowOverlap="1" wp14:anchorId="6F34D13C" wp14:editId="584BECF2">
            <wp:simplePos x="0" y="0"/>
            <wp:positionH relativeFrom="margin">
              <wp:align>center</wp:align>
            </wp:positionH>
            <wp:positionV relativeFrom="paragraph">
              <wp:posOffset>-467995</wp:posOffset>
            </wp:positionV>
            <wp:extent cx="6662420" cy="9296400"/>
            <wp:effectExtent l="19050" t="19050" r="24130" b="19050"/>
            <wp:wrapNone/>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2420" cy="9296400"/>
                    </a:xfrm>
                    <a:prstGeom prst="rect">
                      <a:avLst/>
                    </a:prstGeom>
                    <a:noFill/>
                    <a:ln>
                      <a:solidFill>
                        <a:schemeClr val="tx1"/>
                      </a:solidFill>
                    </a:ln>
                    <a:effectLst/>
                  </pic:spPr>
                </pic:pic>
              </a:graphicData>
            </a:graphic>
            <wp14:sizeRelH relativeFrom="page">
              <wp14:pctWidth>0</wp14:pctWidth>
            </wp14:sizeRelH>
            <wp14:sizeRelV relativeFrom="page">
              <wp14:pctHeight>0</wp14:pctHeight>
            </wp14:sizeRelV>
          </wp:anchor>
        </w:drawing>
      </w:r>
    </w:p>
    <w:p w:rsidR="00CD3E18" w:rsidRDefault="00CD3E18"/>
    <w:p w:rsidR="00CD3E18" w:rsidRDefault="00CD3E18"/>
    <w:p w:rsidR="00CD3E18" w:rsidRDefault="00CD3E18">
      <w:bookmarkStart w:id="0" w:name="_GoBack"/>
      <w:bookmarkEnd w:id="0"/>
    </w:p>
    <w:sectPr w:rsidR="00CD3E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E18" w:rsidRDefault="00CD3E18" w:rsidP="00CD3E18">
      <w:pPr>
        <w:spacing w:after="0" w:line="240" w:lineRule="auto"/>
      </w:pPr>
      <w:r>
        <w:separator/>
      </w:r>
    </w:p>
  </w:endnote>
  <w:endnote w:type="continuationSeparator" w:id="0">
    <w:p w:rsidR="00CD3E18" w:rsidRDefault="00CD3E18" w:rsidP="00CD3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E18" w:rsidRDefault="00CD3E18" w:rsidP="00CD3E18">
      <w:pPr>
        <w:spacing w:after="0" w:line="240" w:lineRule="auto"/>
      </w:pPr>
      <w:r>
        <w:separator/>
      </w:r>
    </w:p>
  </w:footnote>
  <w:footnote w:type="continuationSeparator" w:id="0">
    <w:p w:rsidR="00CD3E18" w:rsidRDefault="00CD3E18" w:rsidP="00CD3E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1234E0"/>
    <w:multiLevelType w:val="hybridMultilevel"/>
    <w:tmpl w:val="4BA0A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E18"/>
    <w:rsid w:val="002534E6"/>
    <w:rsid w:val="00801054"/>
    <w:rsid w:val="00CD3E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BF78EC-1D7D-4FFD-A3D8-68F2EE875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E1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E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3E18"/>
  </w:style>
  <w:style w:type="paragraph" w:styleId="Footer">
    <w:name w:val="footer"/>
    <w:basedOn w:val="Normal"/>
    <w:link w:val="FooterChar"/>
    <w:uiPriority w:val="99"/>
    <w:unhideWhenUsed/>
    <w:rsid w:val="00CD3E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3E18"/>
  </w:style>
  <w:style w:type="paragraph" w:styleId="ListParagraph">
    <w:name w:val="List Paragraph"/>
    <w:basedOn w:val="Normal"/>
    <w:uiPriority w:val="34"/>
    <w:qFormat/>
    <w:rsid w:val="00CD3E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424</Words>
  <Characters>2418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South Gloucestershire Council</Company>
  <LinksUpToDate>false</LinksUpToDate>
  <CharactersWithSpaces>2837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Hillier</dc:creator>
  <cp:keywords/>
  <dc:description/>
  <cp:lastModifiedBy>Linda Fraser</cp:lastModifiedBy>
  <cp:revision>2</cp:revision>
  <dcterms:created xsi:type="dcterms:W3CDTF">2018-12-29T09:36:00Z</dcterms:created>
  <dcterms:modified xsi:type="dcterms:W3CDTF">2018-12-29T09:36:00Z</dcterms:modified>
</cp:coreProperties>
</file>