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165B" w14:textId="77777777" w:rsidR="008654CD" w:rsidRPr="008654CD" w:rsidRDefault="008654CD" w:rsidP="008654CD">
      <w:pPr>
        <w:keepNext/>
        <w:spacing w:before="240" w:after="60" w:line="276" w:lineRule="auto"/>
        <w:ind w:left="720"/>
        <w:jc w:val="center"/>
        <w:outlineLvl w:val="0"/>
        <w:rPr>
          <w:rFonts w:ascii="Arial" w:eastAsia="MS Gothic" w:hAnsi="Arial" w:cs="Times New Roman"/>
          <w:b/>
          <w:bCs/>
          <w:color w:val="66B2CA"/>
          <w:kern w:val="28"/>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pPr>
      <w:r w:rsidRPr="008654CD">
        <w:rPr>
          <w:rFonts w:ascii="Arial" w:eastAsia="MS Gothic" w:hAnsi="Arial" w:cs="Times New Roman"/>
          <w:b/>
          <w:bCs/>
          <w:color w:val="66B2CA"/>
          <w:kern w:val="28"/>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Section Five</w:t>
      </w:r>
    </w:p>
    <w:p w14:paraId="13C280D2"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r w:rsidRPr="008654CD">
        <w:rPr>
          <w:rFonts w:ascii="Arial" w:eastAsia="MS Gothic" w:hAnsi="Arial" w:cs="Times New Roman"/>
          <w:b/>
          <w:color w:val="061F57"/>
          <w:kern w:val="28"/>
          <w:sz w:val="52"/>
          <w:szCs w:val="32"/>
          <w:lang w:val="en-US"/>
        </w:rPr>
        <w:t>Evaluating and Measuring Progress</w:t>
      </w:r>
    </w:p>
    <w:p w14:paraId="27D4B103" w14:textId="77777777" w:rsidR="008654CD" w:rsidRPr="008654CD" w:rsidRDefault="008654CD" w:rsidP="008654CD">
      <w:pPr>
        <w:keepNext/>
        <w:spacing w:before="240" w:after="60" w:line="276" w:lineRule="auto"/>
        <w:jc w:val="center"/>
        <w:outlineLvl w:val="0"/>
        <w:rPr>
          <w:rFonts w:ascii="Arial" w:eastAsia="MS Gothic" w:hAnsi="Arial" w:cs="Times New Roman"/>
          <w:b/>
          <w:color w:val="061F57"/>
          <w:kern w:val="28"/>
          <w:sz w:val="52"/>
          <w:szCs w:val="32"/>
          <w:lang w:val="en-US"/>
        </w:rPr>
      </w:pPr>
      <w:r w:rsidRPr="008654CD">
        <w:rPr>
          <w:rFonts w:ascii="Arial" w:eastAsia="MS Gothic" w:hAnsi="Arial" w:cs="Times New Roman"/>
          <w:b/>
          <w:noProof/>
          <w:color w:val="061F57"/>
          <w:kern w:val="28"/>
          <w:sz w:val="52"/>
          <w:szCs w:val="32"/>
          <w:lang w:val="en-US"/>
        </w:rPr>
        <w:drawing>
          <wp:inline distT="0" distB="0" distL="0" distR="0" wp14:anchorId="403E86EB" wp14:editId="39CAB878">
            <wp:extent cx="1011932" cy="1052512"/>
            <wp:effectExtent l="0" t="0" r="0" b="0"/>
            <wp:docPr id="33" name="Picture 33"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too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284" cy="1063279"/>
                    </a:xfrm>
                    <a:prstGeom prst="rect">
                      <a:avLst/>
                    </a:prstGeom>
                    <a:noFill/>
                  </pic:spPr>
                </pic:pic>
              </a:graphicData>
            </a:graphic>
          </wp:inline>
        </w:drawing>
      </w:r>
      <w:r w:rsidRPr="008654CD">
        <w:rPr>
          <w:rFonts w:ascii="Arial" w:eastAsia="MS Gothic" w:hAnsi="Arial" w:cs="Times New Roman"/>
          <w:b/>
          <w:color w:val="061F57"/>
          <w:kern w:val="28"/>
          <w:sz w:val="52"/>
          <w:szCs w:val="32"/>
          <w:lang w:val="en-US"/>
        </w:rPr>
        <w:t>Tape Measure</w:t>
      </w:r>
    </w:p>
    <w:p w14:paraId="259786D3" w14:textId="77777777" w:rsidR="008654CD" w:rsidRPr="008654CD" w:rsidRDefault="008654CD" w:rsidP="008654CD">
      <w:pPr>
        <w:spacing w:after="0" w:line="276" w:lineRule="auto"/>
        <w:jc w:val="both"/>
        <w:rPr>
          <w:rFonts w:ascii="Calibri" w:eastAsia="MS Mincho" w:hAnsi="Calibri" w:cs="Times New Roman"/>
          <w:bCs/>
          <w:color w:val="082A75"/>
          <w:sz w:val="28"/>
          <w:lang w:val="en-US"/>
        </w:rPr>
      </w:pPr>
      <w:r w:rsidRPr="008654CD">
        <w:rPr>
          <w:rFonts w:ascii="Calibri" w:eastAsia="MS Mincho" w:hAnsi="Calibri" w:cs="Times New Roman"/>
          <w:bCs/>
          <w:color w:val="082A75"/>
          <w:sz w:val="28"/>
          <w:lang w:val="en-US"/>
        </w:rPr>
        <w:t xml:space="preserve">Being able to effectively evaluate practice is so important for workers in terms of their work with families and for a Local Authority as a whole.  There are tools which Local Authority leaders can </w:t>
      </w:r>
      <w:proofErr w:type="spellStart"/>
      <w:r w:rsidRPr="008654CD">
        <w:rPr>
          <w:rFonts w:ascii="Calibri" w:eastAsia="MS Mincho" w:hAnsi="Calibri" w:cs="Times New Roman"/>
          <w:bCs/>
          <w:color w:val="082A75"/>
          <w:sz w:val="28"/>
          <w:lang w:val="en-US"/>
        </w:rPr>
        <w:t>utilise</w:t>
      </w:r>
      <w:proofErr w:type="spellEnd"/>
      <w:r w:rsidRPr="008654CD">
        <w:rPr>
          <w:rFonts w:ascii="Calibri" w:eastAsia="MS Mincho" w:hAnsi="Calibri" w:cs="Times New Roman"/>
          <w:bCs/>
          <w:color w:val="082A75"/>
          <w:sz w:val="28"/>
          <w:lang w:val="en-US"/>
        </w:rPr>
        <w:t xml:space="preserve"> to evaluate how effective services, procedures and actions are within their area; this self-evaluation can support constructive feedback, identify </w:t>
      </w:r>
      <w:proofErr w:type="gramStart"/>
      <w:r w:rsidRPr="008654CD">
        <w:rPr>
          <w:rFonts w:ascii="Calibri" w:eastAsia="MS Mincho" w:hAnsi="Calibri" w:cs="Times New Roman"/>
          <w:bCs/>
          <w:color w:val="082A75"/>
          <w:sz w:val="28"/>
          <w:lang w:val="en-US"/>
        </w:rPr>
        <w:t>gaps</w:t>
      </w:r>
      <w:proofErr w:type="gramEnd"/>
      <w:r w:rsidRPr="008654CD">
        <w:rPr>
          <w:rFonts w:ascii="Calibri" w:eastAsia="MS Mincho" w:hAnsi="Calibri" w:cs="Times New Roman"/>
          <w:bCs/>
          <w:color w:val="082A75"/>
          <w:sz w:val="28"/>
          <w:lang w:val="en-US"/>
        </w:rPr>
        <w:t xml:space="preserve"> and support changes to improve and innovate.</w:t>
      </w:r>
    </w:p>
    <w:p w14:paraId="411C121C" w14:textId="77777777" w:rsidR="008654CD" w:rsidRPr="008654CD" w:rsidRDefault="008654CD" w:rsidP="008654CD">
      <w:pPr>
        <w:spacing w:after="0" w:line="276" w:lineRule="auto"/>
        <w:jc w:val="both"/>
        <w:rPr>
          <w:rFonts w:ascii="Calibri" w:eastAsia="MS Mincho" w:hAnsi="Calibri" w:cs="Times New Roman"/>
          <w:bCs/>
          <w:color w:val="082A75"/>
          <w:sz w:val="28"/>
          <w:lang w:val="en-US"/>
        </w:rPr>
      </w:pPr>
    </w:p>
    <w:p w14:paraId="6CEFA49F" w14:textId="77777777" w:rsidR="008654CD" w:rsidRPr="008654CD" w:rsidRDefault="008654CD" w:rsidP="008654CD">
      <w:pPr>
        <w:spacing w:after="0" w:line="276" w:lineRule="auto"/>
        <w:jc w:val="both"/>
        <w:rPr>
          <w:rFonts w:ascii="Calibri" w:eastAsia="MS Mincho" w:hAnsi="Calibri" w:cs="Times New Roman"/>
          <w:b/>
          <w:color w:val="082A75"/>
          <w:sz w:val="28"/>
          <w:lang w:val="en-US"/>
        </w:rPr>
      </w:pPr>
      <w:r w:rsidRPr="008654CD">
        <w:rPr>
          <w:rFonts w:ascii="Calibri" w:eastAsia="MS Mincho" w:hAnsi="Calibri" w:cs="Times New Roman"/>
          <w:bCs/>
          <w:color w:val="082A75"/>
          <w:sz w:val="28"/>
          <w:lang w:val="en-US"/>
        </w:rPr>
        <w:t xml:space="preserve">Social Workers and other professionals working with families and children need tools which can support everyone around the child and family to know what is working well, where there may be need for change and to build on success.  Dependent on the practice model in each Local Authority there may be a different approach to how progress and change is measured; the important aspect is that you feel equipped to do this. </w:t>
      </w:r>
    </w:p>
    <w:p w14:paraId="408B498B" w14:textId="77777777" w:rsidR="008654CD" w:rsidRPr="008654CD" w:rsidRDefault="008654CD" w:rsidP="008654CD">
      <w:pPr>
        <w:spacing w:after="0" w:line="276" w:lineRule="auto"/>
        <w:rPr>
          <w:rFonts w:ascii="Calibri" w:eastAsia="MS Mincho" w:hAnsi="Calibri" w:cs="Times New Roman"/>
          <w:b/>
          <w:color w:val="082A75"/>
          <w:sz w:val="28"/>
          <w:lang w:val="en-US"/>
        </w:rPr>
      </w:pPr>
    </w:p>
    <w:p w14:paraId="3A9134FC" w14:textId="77777777" w:rsidR="008654CD" w:rsidRPr="008654CD" w:rsidRDefault="008654CD" w:rsidP="008654CD">
      <w:pPr>
        <w:spacing w:after="0" w:line="276" w:lineRule="auto"/>
        <w:rPr>
          <w:rFonts w:ascii="Calibri" w:eastAsia="MS Mincho" w:hAnsi="Calibri" w:cs="Times New Roman"/>
          <w:b/>
          <w:color w:val="082A75"/>
          <w:sz w:val="28"/>
          <w:lang w:val="en-US"/>
        </w:rPr>
      </w:pPr>
      <w:r w:rsidRPr="008654CD">
        <w:rPr>
          <w:rFonts w:ascii="Calibri" w:eastAsia="MS Mincho" w:hAnsi="Calibri" w:cs="Times New Roman"/>
          <w:b/>
          <w:noProof/>
          <w:color w:val="082A75"/>
          <w:sz w:val="32"/>
          <w:szCs w:val="32"/>
          <w:lang w:val="en-US"/>
        </w:rPr>
        <mc:AlternateContent>
          <mc:Choice Requires="wps">
            <w:drawing>
              <wp:anchor distT="45720" distB="45720" distL="114300" distR="114300" simplePos="0" relativeHeight="251659264" behindDoc="0" locked="0" layoutInCell="1" allowOverlap="1" wp14:anchorId="311397EE" wp14:editId="57B8521D">
                <wp:simplePos x="0" y="0"/>
                <wp:positionH relativeFrom="column">
                  <wp:posOffset>714375</wp:posOffset>
                </wp:positionH>
                <wp:positionV relativeFrom="paragraph">
                  <wp:posOffset>15557</wp:posOffset>
                </wp:positionV>
                <wp:extent cx="5062220" cy="1404620"/>
                <wp:effectExtent l="0" t="0" r="2413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404620"/>
                        </a:xfrm>
                        <a:prstGeom prst="rect">
                          <a:avLst/>
                        </a:prstGeom>
                        <a:solidFill>
                          <a:srgbClr val="34ABA2">
                            <a:lumMod val="60000"/>
                            <a:lumOff val="40000"/>
                          </a:srgbClr>
                        </a:solidFill>
                        <a:ln w="9525">
                          <a:solidFill>
                            <a:srgbClr val="000000"/>
                          </a:solidFill>
                          <a:miter lim="800000"/>
                          <a:headEnd/>
                          <a:tailEnd/>
                        </a:ln>
                      </wps:spPr>
                      <wps:txbx>
                        <w:txbxContent>
                          <w:p w14:paraId="3E4E3CAE" w14:textId="77777777" w:rsidR="008654CD" w:rsidRPr="008654CD" w:rsidRDefault="008654CD" w:rsidP="008654CD">
                            <w:pPr>
                              <w:rPr>
                                <w:b/>
                                <w:bCs/>
                                <w:sz w:val="28"/>
                                <w:szCs w:val="28"/>
                              </w:rPr>
                            </w:pPr>
                            <w:r w:rsidRPr="008654CD">
                              <w:rPr>
                                <w:rFonts w:ascii="Arial" w:hAnsi="Arial" w:cs="Arial"/>
                                <w:i/>
                                <w:iCs/>
                                <w:sz w:val="28"/>
                                <w:szCs w:val="28"/>
                              </w:rPr>
                              <w:t>“Social Workers need practice models which support professionals and the family to measure change, progress and success; Local Authorities need overarching systems to evaluate practice and what works well”</w:t>
                            </w:r>
                          </w:p>
                          <w:p w14:paraId="5A7AAD36" w14:textId="77777777" w:rsidR="008654CD" w:rsidRPr="00FE142D" w:rsidRDefault="008654CD" w:rsidP="008654CD">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397EE" id="_x0000_t202" coordsize="21600,21600" o:spt="202" path="m,l,21600r21600,l21600,xe">
                <v:stroke joinstyle="miter"/>
                <v:path gradientshapeok="t" o:connecttype="rect"/>
              </v:shapetype>
              <v:shape id="Text Box 2" o:spid="_x0000_s1026" type="#_x0000_t202" style="position:absolute;margin-left:56.25pt;margin-top:1.2pt;width:39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" fillcolor="#7bd7d0">
                <v:textbox style="mso-fit-shape-to-text:t">
                  <w:txbxContent>
                    <w:p w14:paraId="3E4E3CAE" w14:textId="77777777" w:rsidR="008654CD" w:rsidRPr="008654CD" w:rsidRDefault="008654CD" w:rsidP="008654CD">
                      <w:pPr>
                        <w:rPr>
                          <w:b/>
                          <w:bCs/>
                          <w:sz w:val="28"/>
                          <w:szCs w:val="28"/>
                        </w:rPr>
                      </w:pPr>
                      <w:r w:rsidRPr="008654CD">
                        <w:rPr>
                          <w:rFonts w:ascii="Arial" w:hAnsi="Arial" w:cs="Arial"/>
                          <w:i/>
                          <w:iCs/>
                          <w:sz w:val="28"/>
                          <w:szCs w:val="28"/>
                        </w:rPr>
                        <w:t>“Social Workers need practice models which support professionals and the family to measure change, progress and success; Local Authorities need overarching systems to evaluate practice and what works well”</w:t>
                      </w:r>
                    </w:p>
                    <w:p w14:paraId="5A7AAD36" w14:textId="77777777" w:rsidR="008654CD" w:rsidRPr="00FE142D" w:rsidRDefault="008654CD" w:rsidP="008654CD">
                      <w:pPr>
                        <w:rPr>
                          <w:b/>
                          <w:bCs/>
                        </w:rPr>
                      </w:pPr>
                    </w:p>
                  </w:txbxContent>
                </v:textbox>
                <w10:wrap type="square"/>
              </v:shape>
            </w:pict>
          </mc:Fallback>
        </mc:AlternateContent>
      </w:r>
    </w:p>
    <w:p w14:paraId="6FAA7911"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p>
    <w:p w14:paraId="79F372FD"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p>
    <w:p w14:paraId="0B8F50D2"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p>
    <w:p w14:paraId="141C33FA"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p>
    <w:p w14:paraId="1902AD54"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p>
    <w:p w14:paraId="16C02923" w14:textId="77777777" w:rsidR="008654CD" w:rsidRPr="008654CD" w:rsidRDefault="008654CD" w:rsidP="008654CD">
      <w:pPr>
        <w:spacing w:after="0" w:line="276" w:lineRule="auto"/>
        <w:rPr>
          <w:rFonts w:ascii="Calibri" w:eastAsia="MS Mincho" w:hAnsi="Calibri" w:cs="Times New Roman"/>
          <w:b/>
          <w:color w:val="082A75"/>
          <w:sz w:val="32"/>
          <w:szCs w:val="32"/>
        </w:rPr>
      </w:pPr>
    </w:p>
    <w:p w14:paraId="64F6F157" w14:textId="77777777" w:rsidR="008654CD" w:rsidRPr="008654CD" w:rsidRDefault="008654CD" w:rsidP="008654CD">
      <w:pPr>
        <w:spacing w:after="0" w:line="276" w:lineRule="auto"/>
        <w:rPr>
          <w:rFonts w:ascii="Calibri" w:eastAsia="MS Mincho" w:hAnsi="Calibri" w:cs="Times New Roman"/>
          <w:b/>
          <w:color w:val="082A75"/>
          <w:sz w:val="32"/>
          <w:szCs w:val="32"/>
        </w:rPr>
      </w:pPr>
    </w:p>
    <w:p w14:paraId="70957756" w14:textId="38B8B9D7" w:rsidR="008654CD" w:rsidRDefault="008654CD" w:rsidP="008654CD">
      <w:pPr>
        <w:spacing w:after="0" w:line="276" w:lineRule="auto"/>
        <w:rPr>
          <w:rFonts w:ascii="Calibri" w:eastAsia="MS Mincho" w:hAnsi="Calibri" w:cs="Times New Roman"/>
          <w:b/>
          <w:color w:val="082A75"/>
          <w:sz w:val="32"/>
          <w:szCs w:val="32"/>
        </w:rPr>
      </w:pPr>
    </w:p>
    <w:p w14:paraId="21BE497F" w14:textId="77777777" w:rsidR="008654CD" w:rsidRPr="008654CD" w:rsidRDefault="008654CD" w:rsidP="008654CD">
      <w:pPr>
        <w:spacing w:after="0" w:line="276" w:lineRule="auto"/>
        <w:rPr>
          <w:rFonts w:ascii="Calibri" w:eastAsia="MS Mincho" w:hAnsi="Calibri" w:cs="Times New Roman"/>
          <w:b/>
          <w:color w:val="082A75"/>
          <w:sz w:val="32"/>
          <w:szCs w:val="32"/>
        </w:rPr>
      </w:pPr>
    </w:p>
    <w:p w14:paraId="31100B30" w14:textId="77777777" w:rsidR="008654CD" w:rsidRPr="008654CD" w:rsidRDefault="008654CD" w:rsidP="008654CD">
      <w:pPr>
        <w:spacing w:after="0" w:line="276" w:lineRule="auto"/>
        <w:rPr>
          <w:rFonts w:ascii="Calibri" w:eastAsia="MS Mincho" w:hAnsi="Calibri" w:cs="Times New Roman"/>
          <w:b/>
          <w:color w:val="082A75"/>
          <w:sz w:val="32"/>
          <w:szCs w:val="32"/>
          <w:lang w:val="en-US"/>
        </w:rPr>
      </w:pPr>
      <w:r w:rsidRPr="008654CD">
        <w:rPr>
          <w:rFonts w:ascii="Calibri" w:eastAsia="MS Mincho" w:hAnsi="Calibri" w:cs="Times New Roman"/>
          <w:b/>
          <w:color w:val="082A75"/>
          <w:sz w:val="32"/>
          <w:szCs w:val="32"/>
          <w:lang w:val="en-US"/>
        </w:rPr>
        <w:lastRenderedPageBreak/>
        <w:t>Your Tools:</w:t>
      </w:r>
    </w:p>
    <w:p w14:paraId="4F8A0E79" w14:textId="77777777" w:rsidR="008654CD" w:rsidRPr="008654CD" w:rsidRDefault="008654CD" w:rsidP="008654CD">
      <w:pPr>
        <w:spacing w:after="0" w:line="276" w:lineRule="auto"/>
        <w:rPr>
          <w:rFonts w:ascii="Calibri" w:eastAsia="MS Mincho" w:hAnsi="Calibri" w:cs="Times New Roman"/>
          <w:b/>
          <w:color w:val="082A75"/>
          <w:sz w:val="28"/>
          <w:lang w:val="en-US"/>
        </w:rPr>
      </w:pPr>
    </w:p>
    <w:tbl>
      <w:tblPr>
        <w:tblStyle w:val="TableGrid"/>
        <w:tblW w:w="0" w:type="auto"/>
        <w:tblLook w:val="04A0" w:firstRow="1" w:lastRow="0" w:firstColumn="1" w:lastColumn="0" w:noHBand="0" w:noVBand="1"/>
      </w:tblPr>
      <w:tblGrid>
        <w:gridCol w:w="1822"/>
        <w:gridCol w:w="2067"/>
        <w:gridCol w:w="1999"/>
        <w:gridCol w:w="1793"/>
        <w:gridCol w:w="1335"/>
      </w:tblGrid>
      <w:tr w:rsidR="008654CD" w:rsidRPr="008654CD" w14:paraId="73611207" w14:textId="77777777" w:rsidTr="00980B68">
        <w:tc>
          <w:tcPr>
            <w:tcW w:w="1914" w:type="dxa"/>
          </w:tcPr>
          <w:p w14:paraId="7E5A1038"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Area of Practice</w:t>
            </w:r>
          </w:p>
        </w:tc>
        <w:tc>
          <w:tcPr>
            <w:tcW w:w="2402" w:type="dxa"/>
          </w:tcPr>
          <w:p w14:paraId="602D337F"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Document</w:t>
            </w:r>
          </w:p>
        </w:tc>
        <w:tc>
          <w:tcPr>
            <w:tcW w:w="2248" w:type="dxa"/>
          </w:tcPr>
          <w:p w14:paraId="411D726B"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Source/ author</w:t>
            </w:r>
          </w:p>
        </w:tc>
        <w:tc>
          <w:tcPr>
            <w:tcW w:w="1901" w:type="dxa"/>
          </w:tcPr>
          <w:p w14:paraId="21BB4033"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Link</w:t>
            </w:r>
          </w:p>
        </w:tc>
        <w:tc>
          <w:tcPr>
            <w:tcW w:w="1461" w:type="dxa"/>
          </w:tcPr>
          <w:p w14:paraId="279AA963"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Ease of reading</w:t>
            </w:r>
          </w:p>
        </w:tc>
      </w:tr>
      <w:tr w:rsidR="008654CD" w:rsidRPr="008654CD" w14:paraId="2115906D" w14:textId="77777777" w:rsidTr="00980B68">
        <w:tc>
          <w:tcPr>
            <w:tcW w:w="1914" w:type="dxa"/>
          </w:tcPr>
          <w:p w14:paraId="6DFD994A"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Evaluating your Local Authority</w:t>
            </w:r>
          </w:p>
        </w:tc>
        <w:tc>
          <w:tcPr>
            <w:tcW w:w="2402" w:type="dxa"/>
          </w:tcPr>
          <w:p w14:paraId="34EEAABD"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Self-Evaluation Tool</w:t>
            </w:r>
          </w:p>
          <w:p w14:paraId="4318DC11"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(SEF) for Local Authority.</w:t>
            </w:r>
          </w:p>
        </w:tc>
        <w:tc>
          <w:tcPr>
            <w:tcW w:w="2248" w:type="dxa"/>
          </w:tcPr>
          <w:p w14:paraId="2BBF55FD"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 xml:space="preserve">Essex County Council – adapted for </w:t>
            </w:r>
            <w:proofErr w:type="gramStart"/>
            <w:r w:rsidRPr="008654CD">
              <w:rPr>
                <w:rFonts w:ascii="Calibri" w:eastAsia="MS Mincho" w:hAnsi="Calibri" w:cs="Times New Roman"/>
                <w:b/>
                <w:color w:val="082A75"/>
                <w:sz w:val="28"/>
              </w:rPr>
              <w:t>Regional</w:t>
            </w:r>
            <w:proofErr w:type="gramEnd"/>
            <w:r w:rsidRPr="008654CD">
              <w:rPr>
                <w:rFonts w:ascii="Calibri" w:eastAsia="MS Mincho" w:hAnsi="Calibri" w:cs="Times New Roman"/>
                <w:b/>
                <w:color w:val="082A75"/>
                <w:sz w:val="28"/>
              </w:rPr>
              <w:t xml:space="preserve"> use.</w:t>
            </w:r>
          </w:p>
        </w:tc>
        <w:tc>
          <w:tcPr>
            <w:tcW w:w="1901" w:type="dxa"/>
          </w:tcPr>
          <w:p w14:paraId="66528E45"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szCs w:val="22"/>
                <w:lang w:val="en-GB"/>
              </w:rPr>
              <w:object w:dxaOrig="1487" w:dyaOrig="993" w14:anchorId="07A1A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49.5pt" o:ole="">
                  <v:imagedata r:id="rId5" o:title=""/>
                </v:shape>
                <o:OLEObject Type="Embed" ProgID="Word.Document.12" ShapeID="_x0000_i1025" DrawAspect="Icon" ObjectID="_1746345517" r:id="rId6">
                  <o:FieldCodes>\s</o:FieldCodes>
                </o:OLEObject>
              </w:object>
            </w:r>
          </w:p>
        </w:tc>
        <w:tc>
          <w:tcPr>
            <w:tcW w:w="1461" w:type="dxa"/>
          </w:tcPr>
          <w:p w14:paraId="0828D239"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Complex</w:t>
            </w:r>
          </w:p>
        </w:tc>
      </w:tr>
      <w:tr w:rsidR="008654CD" w:rsidRPr="008654CD" w14:paraId="7CE915D3" w14:textId="77777777" w:rsidTr="00980B68">
        <w:tc>
          <w:tcPr>
            <w:tcW w:w="1914" w:type="dxa"/>
          </w:tcPr>
          <w:p w14:paraId="53527685"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Evaluation of effectiveness</w:t>
            </w:r>
          </w:p>
        </w:tc>
        <w:tc>
          <w:tcPr>
            <w:tcW w:w="2402" w:type="dxa"/>
          </w:tcPr>
          <w:p w14:paraId="1D99ACC0"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 xml:space="preserve">How do we know if children’s social care services make a difference? Development of an </w:t>
            </w:r>
            <w:proofErr w:type="gramStart"/>
            <w:r w:rsidRPr="008654CD">
              <w:rPr>
                <w:rFonts w:ascii="Calibri" w:eastAsia="MS Mincho" w:hAnsi="Calibri" w:cs="Times New Roman"/>
                <w:b/>
                <w:color w:val="082A75"/>
                <w:sz w:val="28"/>
              </w:rPr>
              <w:t>outcomes</w:t>
            </w:r>
            <w:proofErr w:type="gramEnd"/>
            <w:r w:rsidRPr="008654CD">
              <w:rPr>
                <w:rFonts w:ascii="Calibri" w:eastAsia="MS Mincho" w:hAnsi="Calibri" w:cs="Times New Roman"/>
                <w:b/>
                <w:color w:val="082A75"/>
                <w:sz w:val="28"/>
              </w:rPr>
              <w:t xml:space="preserve"> framework – Summary Report</w:t>
            </w:r>
          </w:p>
        </w:tc>
        <w:tc>
          <w:tcPr>
            <w:tcW w:w="2248" w:type="dxa"/>
          </w:tcPr>
          <w:p w14:paraId="2B8512D3"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Nuffield Foundation</w:t>
            </w:r>
          </w:p>
        </w:tc>
        <w:tc>
          <w:tcPr>
            <w:tcW w:w="1901" w:type="dxa"/>
          </w:tcPr>
          <w:p w14:paraId="2B2FF0A9"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szCs w:val="22"/>
                <w:lang w:val="en-GB"/>
              </w:rPr>
              <w:object w:dxaOrig="1487" w:dyaOrig="993" w14:anchorId="5F3D078B">
                <v:shape id="_x0000_i1026" type="#_x0000_t75" style="width:74.3pt;height:49.5pt" o:ole="">
                  <v:imagedata r:id="rId7" o:title=""/>
                </v:shape>
                <o:OLEObject Type="Embed" ProgID="AcroExch.Document.DC" ShapeID="_x0000_i1026" DrawAspect="Icon" ObjectID="_1746345518" r:id="rId8"/>
              </w:object>
            </w:r>
          </w:p>
        </w:tc>
        <w:tc>
          <w:tcPr>
            <w:tcW w:w="1461" w:type="dxa"/>
          </w:tcPr>
          <w:p w14:paraId="69304C39"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Complex</w:t>
            </w:r>
          </w:p>
        </w:tc>
      </w:tr>
      <w:tr w:rsidR="008654CD" w:rsidRPr="008654CD" w14:paraId="200B9065" w14:textId="77777777" w:rsidTr="00980B68">
        <w:tc>
          <w:tcPr>
            <w:tcW w:w="1914" w:type="dxa"/>
          </w:tcPr>
          <w:p w14:paraId="14F727CE"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Motivation to change</w:t>
            </w:r>
          </w:p>
        </w:tc>
        <w:tc>
          <w:tcPr>
            <w:tcW w:w="2402" w:type="dxa"/>
          </w:tcPr>
          <w:p w14:paraId="68BECFE4"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The Cycle of Change</w:t>
            </w:r>
          </w:p>
        </w:tc>
        <w:tc>
          <w:tcPr>
            <w:tcW w:w="2248" w:type="dxa"/>
          </w:tcPr>
          <w:p w14:paraId="7B3A57A9"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Prochaska and DiClemente</w:t>
            </w:r>
          </w:p>
        </w:tc>
        <w:tc>
          <w:tcPr>
            <w:tcW w:w="1901" w:type="dxa"/>
          </w:tcPr>
          <w:p w14:paraId="0841D593" w14:textId="0104100B" w:rsidR="008654CD" w:rsidRPr="008654CD" w:rsidRDefault="005B03D3" w:rsidP="008654CD">
            <w:pPr>
              <w:rPr>
                <w:rFonts w:ascii="Calibri" w:eastAsia="MS Mincho" w:hAnsi="Calibri" w:cs="Times New Roman"/>
                <w:b/>
                <w:color w:val="082A75"/>
                <w:sz w:val="28"/>
              </w:rPr>
            </w:pPr>
            <w:r w:rsidRPr="008654CD">
              <w:rPr>
                <w:rFonts w:ascii="Calibri" w:eastAsia="MS Mincho" w:hAnsi="Calibri" w:cs="Times New Roman"/>
                <w:b/>
                <w:color w:val="082A75"/>
                <w:sz w:val="28"/>
                <w:szCs w:val="22"/>
                <w:lang w:val="en-GB"/>
              </w:rPr>
              <w:object w:dxaOrig="1068" w:dyaOrig="712" w14:anchorId="435757FB">
                <v:shape id="_x0000_i1027" type="#_x0000_t75" style="width:53.4pt;height:35.6pt" o:ole="">
                  <v:imagedata r:id="rId9" o:title=""/>
                </v:shape>
                <o:OLEObject Type="Embed" ProgID="AcroExch.Document.DC" ShapeID="_x0000_i1027" DrawAspect="Icon" ObjectID="_1746345519" r:id="rId10"/>
              </w:object>
            </w:r>
          </w:p>
        </w:tc>
        <w:tc>
          <w:tcPr>
            <w:tcW w:w="1461" w:type="dxa"/>
          </w:tcPr>
          <w:p w14:paraId="60AB2086"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Easy</w:t>
            </w:r>
          </w:p>
        </w:tc>
      </w:tr>
      <w:tr w:rsidR="008654CD" w:rsidRPr="008654CD" w14:paraId="43786780" w14:textId="77777777" w:rsidTr="00980B68">
        <w:tc>
          <w:tcPr>
            <w:tcW w:w="1914" w:type="dxa"/>
          </w:tcPr>
          <w:p w14:paraId="76AF32C1"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Scaling (SOS)</w:t>
            </w:r>
          </w:p>
        </w:tc>
        <w:tc>
          <w:tcPr>
            <w:tcW w:w="2402" w:type="dxa"/>
          </w:tcPr>
          <w:p w14:paraId="3A3AFB91"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One minute briefing – Scaling (SOS)</w:t>
            </w:r>
          </w:p>
        </w:tc>
        <w:tc>
          <w:tcPr>
            <w:tcW w:w="2248" w:type="dxa"/>
          </w:tcPr>
          <w:p w14:paraId="03D1C16C"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LCC (Sam White) Regional Collaboration</w:t>
            </w:r>
          </w:p>
        </w:tc>
        <w:tc>
          <w:tcPr>
            <w:tcW w:w="1901" w:type="dxa"/>
          </w:tcPr>
          <w:p w14:paraId="20F5F440"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szCs w:val="22"/>
                <w:lang w:val="en-GB"/>
              </w:rPr>
              <w:object w:dxaOrig="1487" w:dyaOrig="993" w14:anchorId="08D71506">
                <v:shape id="_x0000_i1028" type="#_x0000_t75" style="width:74.35pt;height:49.65pt" o:ole="">
                  <v:imagedata r:id="rId11" o:title=""/>
                </v:shape>
                <o:OLEObject Type="Embed" ProgID="AcroExch.Document.DC" ShapeID="_x0000_i1028" DrawAspect="Icon" ObjectID="_1746345520" r:id="rId12"/>
              </w:object>
            </w:r>
          </w:p>
        </w:tc>
        <w:tc>
          <w:tcPr>
            <w:tcW w:w="1461" w:type="dxa"/>
          </w:tcPr>
          <w:p w14:paraId="16A7EE94" w14:textId="77777777" w:rsidR="008654CD" w:rsidRPr="008654CD" w:rsidRDefault="008654CD" w:rsidP="008654CD">
            <w:pPr>
              <w:rPr>
                <w:rFonts w:ascii="Calibri" w:eastAsia="MS Mincho" w:hAnsi="Calibri" w:cs="Times New Roman"/>
                <w:b/>
                <w:color w:val="082A75"/>
                <w:sz w:val="28"/>
              </w:rPr>
            </w:pPr>
            <w:r w:rsidRPr="008654CD">
              <w:rPr>
                <w:rFonts w:ascii="Calibri" w:eastAsia="MS Mincho" w:hAnsi="Calibri" w:cs="Times New Roman"/>
                <w:b/>
                <w:color w:val="082A75"/>
                <w:sz w:val="28"/>
              </w:rPr>
              <w:t>Easy</w:t>
            </w:r>
          </w:p>
        </w:tc>
      </w:tr>
    </w:tbl>
    <w:p w14:paraId="7D277B21" w14:textId="77777777" w:rsidR="008654CD" w:rsidRPr="008654CD" w:rsidRDefault="008654CD" w:rsidP="008654CD">
      <w:pPr>
        <w:spacing w:after="0" w:line="276" w:lineRule="auto"/>
        <w:rPr>
          <w:rFonts w:ascii="Calibri" w:eastAsia="MS Mincho" w:hAnsi="Calibri" w:cs="Times New Roman"/>
          <w:b/>
          <w:color w:val="082A75"/>
          <w:sz w:val="28"/>
          <w:lang w:val="en-US"/>
        </w:rPr>
      </w:pPr>
    </w:p>
    <w:p w14:paraId="6EAB94D3"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p>
    <w:p w14:paraId="47795BF6"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r w:rsidRPr="008654CD">
        <w:rPr>
          <w:rFonts w:ascii="Arial" w:eastAsia="MS Gothic" w:hAnsi="Arial" w:cs="Times New Roman"/>
          <w:b/>
          <w:color w:val="061F57"/>
          <w:kern w:val="28"/>
          <w:sz w:val="52"/>
          <w:szCs w:val="32"/>
          <w:lang w:val="en-US"/>
        </w:rPr>
        <w:t>We hope this will be a helpful Toolkit for you when navigating pre-proceedings and proceedings.</w:t>
      </w:r>
    </w:p>
    <w:p w14:paraId="15C9C935"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28"/>
          <w:szCs w:val="28"/>
          <w:lang w:val="en-US"/>
        </w:rPr>
      </w:pPr>
      <w:r w:rsidRPr="008654CD">
        <w:rPr>
          <w:rFonts w:ascii="Arial" w:eastAsia="MS Gothic" w:hAnsi="Arial" w:cs="Times New Roman"/>
          <w:b/>
          <w:color w:val="061F57"/>
          <w:kern w:val="28"/>
          <w:sz w:val="28"/>
          <w:szCs w:val="28"/>
          <w:lang w:val="en-US"/>
        </w:rPr>
        <w:t>Please provide us with anonymous feedback via this link:</w:t>
      </w:r>
    </w:p>
    <w:p w14:paraId="7938ABC0" w14:textId="77777777" w:rsidR="008654CD" w:rsidRPr="008654CD" w:rsidRDefault="00801F2F" w:rsidP="008654CD">
      <w:pPr>
        <w:keepNext/>
        <w:spacing w:before="240" w:after="60" w:line="276" w:lineRule="auto"/>
        <w:outlineLvl w:val="0"/>
        <w:rPr>
          <w:rFonts w:ascii="Arial" w:eastAsia="MS Gothic" w:hAnsi="Arial" w:cs="Times New Roman"/>
          <w:b/>
          <w:color w:val="061F57"/>
          <w:kern w:val="28"/>
          <w:sz w:val="28"/>
          <w:szCs w:val="28"/>
          <w:lang w:val="en-US"/>
        </w:rPr>
      </w:pPr>
      <w:hyperlink r:id="rId13" w:history="1">
        <w:r w:rsidR="008654CD" w:rsidRPr="008654CD">
          <w:rPr>
            <w:rFonts w:ascii="Arial" w:eastAsia="MS Gothic" w:hAnsi="Arial" w:cs="Times New Roman"/>
            <w:b/>
            <w:color w:val="3592CF"/>
            <w:kern w:val="28"/>
            <w:sz w:val="28"/>
            <w:szCs w:val="28"/>
            <w:u w:val="single"/>
            <w:lang w:val="en-US"/>
          </w:rPr>
          <w:t>https://forms.office.com/Pages/ResponsePage.aspx?id=klvgtM74tUabJJm6XBHl6Tq8j3aIZ6BFja7ygLmdFOhUQ0tVVUJVTEJPR1pBUFpPTVkzV1FKUjFZSy4u</w:t>
        </w:r>
      </w:hyperlink>
    </w:p>
    <w:p w14:paraId="0E21D91E"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p>
    <w:p w14:paraId="43930AD2"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p>
    <w:p w14:paraId="7B12F998"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p>
    <w:p w14:paraId="21FE3E39" w14:textId="77777777" w:rsidR="008654CD" w:rsidRPr="008654CD" w:rsidRDefault="008654CD" w:rsidP="008654CD">
      <w:pPr>
        <w:keepNext/>
        <w:spacing w:before="240" w:after="60" w:line="276" w:lineRule="auto"/>
        <w:outlineLvl w:val="0"/>
        <w:rPr>
          <w:rFonts w:ascii="Arial" w:eastAsia="MS Gothic" w:hAnsi="Arial" w:cs="Times New Roman"/>
          <w:b/>
          <w:color w:val="061F57"/>
          <w:kern w:val="28"/>
          <w:sz w:val="52"/>
          <w:szCs w:val="32"/>
          <w:lang w:val="en-US"/>
        </w:rPr>
      </w:pPr>
    </w:p>
    <w:p w14:paraId="31A5C9E1" w14:textId="77777777" w:rsidR="008654CD" w:rsidRPr="008654CD" w:rsidRDefault="008654CD" w:rsidP="008654CD">
      <w:pPr>
        <w:spacing w:after="0" w:line="276" w:lineRule="auto"/>
        <w:rPr>
          <w:rFonts w:ascii="Calibri" w:eastAsia="MS Mincho" w:hAnsi="Calibri" w:cs="Times New Roman"/>
          <w:color w:val="082A75"/>
          <w:sz w:val="28"/>
          <w:lang w:val="en-US"/>
        </w:rPr>
      </w:pPr>
    </w:p>
    <w:p w14:paraId="16C59BBE" w14:textId="77777777" w:rsidR="002B5E92" w:rsidRDefault="002B5E92"/>
    <w:sectPr w:rsidR="002B5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CD"/>
    <w:rsid w:val="00017914"/>
    <w:rsid w:val="002B5E92"/>
    <w:rsid w:val="005B03D3"/>
    <w:rsid w:val="00794164"/>
    <w:rsid w:val="007F0926"/>
    <w:rsid w:val="00801F2F"/>
    <w:rsid w:val="008654CD"/>
    <w:rsid w:val="00E0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D3D370"/>
  <w15:chartTrackingRefBased/>
  <w15:docId w15:val="{8B6F8179-E517-402C-A863-D117F42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654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gbr01.safelinks.protection.outlook.com/?url=https%3A%2F%2Fforms.office.com%2FPages%2FResponsePage.aspx%3Fid%3DklvgtM74tUabJJm6XBHl6Tq8j3aIZ6BFja7ygLmdFOhUQ0tVVUJVTEJPR1pBUFpPTVkzV1FKUjFZSy4u&amp;data=04%7C01%7CAnn.Woollard%40lincolnshire.gov.uk%7Ca0477c87f27b40025b5308da0e6c6d3e%7Cb4e05b92f8ce46b59b2499ba5c11e5e9%7C0%7C0%7C637838156084522231%7CUnknown%7CTWFpbGZsb3d8eyJWIjoiMC4wLjAwMDAiLCJQIjoiV2luMzIiLCJBTiI6Ik1haWwiLCJXVCI6Mn0%3D%7C3000&amp;sdata=%2Bp5%2F3ZRZj9CAJMOYLXnMJewxiIegbP0pXzCWZJhQ6Pg%3D&amp;reserved=0"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11" Type="http://schemas.openxmlformats.org/officeDocument/2006/relationships/image" Target="media/image5.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4</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Woollard</dc:creator>
  <cp:keywords/>
  <dc:description/>
  <cp:lastModifiedBy>Sharleen Sidhar</cp:lastModifiedBy>
  <cp:revision>2</cp:revision>
  <dcterms:created xsi:type="dcterms:W3CDTF">2023-05-23T10:11:00Z</dcterms:created>
  <dcterms:modified xsi:type="dcterms:W3CDTF">2023-05-23T10:11:00Z</dcterms:modified>
</cp:coreProperties>
</file>