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B3F6" w14:textId="4EA63588" w:rsidR="004B5BA0" w:rsidRPr="004B5BA0" w:rsidRDefault="004B5B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611"/>
      </w:tblGrid>
      <w:tr w:rsidR="004B5BA0" w14:paraId="211F171F" w14:textId="77777777" w:rsidTr="004B5BA0">
        <w:trPr>
          <w:trHeight w:val="504"/>
        </w:trPr>
        <w:tc>
          <w:tcPr>
            <w:tcW w:w="51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12D3A" w14:textId="77777777" w:rsidR="004B5BA0" w:rsidRP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2"/>
                <w:szCs w:val="32"/>
              </w:rPr>
            </w:pPr>
            <w:r w:rsidRPr="004B5BA0">
              <w:rPr>
                <w:rFonts w:cs="Arial"/>
                <w:b/>
                <w:sz w:val="32"/>
                <w:szCs w:val="32"/>
              </w:rPr>
              <w:t>Local Authority</w:t>
            </w:r>
          </w:p>
          <w:p w14:paraId="4F9C9F72" w14:textId="77777777" w:rsidR="004B5BA0" w:rsidRP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2"/>
                <w:szCs w:val="32"/>
              </w:rPr>
            </w:pPr>
            <w:r w:rsidRPr="004B5BA0">
              <w:rPr>
                <w:rFonts w:cs="Arial"/>
                <w:b/>
                <w:sz w:val="32"/>
                <w:szCs w:val="32"/>
              </w:rPr>
              <w:t>Social Work Initial Evidence (SWIET)</w:t>
            </w:r>
          </w:p>
          <w:p w14:paraId="743FDD57" w14:textId="3B48DEAD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 w:rsidRPr="004B5BA0">
              <w:rPr>
                <w:rFonts w:cs="Arial"/>
                <w:b/>
                <w:sz w:val="32"/>
                <w:szCs w:val="32"/>
              </w:rPr>
              <w:t>For use in urgent hearings only</w:t>
            </w:r>
          </w:p>
        </w:tc>
        <w:tc>
          <w:tcPr>
            <w:tcW w:w="4611" w:type="dxa"/>
            <w:tcBorders>
              <w:left w:val="single" w:sz="4" w:space="0" w:color="auto"/>
            </w:tcBorders>
          </w:tcPr>
          <w:p w14:paraId="2276CE31" w14:textId="77777777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12C0153F" w14:textId="77777777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the Family Court sitting at  </w:t>
            </w:r>
          </w:p>
          <w:p w14:paraId="511B5880" w14:textId="22402B0B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4B5BA0" w14:paraId="161C7A25" w14:textId="77777777" w:rsidTr="004B5BA0">
        <w:trPr>
          <w:trHeight w:val="504"/>
        </w:trPr>
        <w:tc>
          <w:tcPr>
            <w:tcW w:w="51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6AAF" w14:textId="77777777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611" w:type="dxa"/>
            <w:tcBorders>
              <w:left w:val="single" w:sz="4" w:space="0" w:color="auto"/>
            </w:tcBorders>
          </w:tcPr>
          <w:p w14:paraId="71E5CEE4" w14:textId="77777777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00A5C1E2" w14:textId="77777777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the matter of the Children Act 1989</w:t>
            </w:r>
          </w:p>
          <w:p w14:paraId="4653C0E9" w14:textId="4A141CE8" w:rsidR="004B5BA0" w:rsidRDefault="004B5BA0" w:rsidP="004B5BA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E7D926A" w14:textId="66E8B3FF" w:rsidR="004B5BA0" w:rsidRDefault="004B5BA0" w:rsidP="004B5BA0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p w14:paraId="266D93E7" w14:textId="77777777" w:rsidR="008B4135" w:rsidRDefault="008B4135" w:rsidP="008B413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68"/>
        <w:gridCol w:w="4868"/>
      </w:tblGrid>
      <w:tr w:rsidR="008B4135" w14:paraId="6B3C95F0" w14:textId="77777777" w:rsidTr="004E4B89">
        <w:tc>
          <w:tcPr>
            <w:tcW w:w="9736" w:type="dxa"/>
            <w:gridSpan w:val="2"/>
            <w:shd w:val="clear" w:color="auto" w:fill="F2F2F2" w:themeFill="background1" w:themeFillShade="F2"/>
          </w:tcPr>
          <w:p w14:paraId="54CFD8C3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Local Authority and Social Worker Details</w:t>
            </w:r>
          </w:p>
          <w:p w14:paraId="44BB947F" w14:textId="77777777" w:rsidR="008B4135" w:rsidRPr="00485E56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8B4135" w14:paraId="356B5CD6" w14:textId="77777777" w:rsidTr="004E4B89">
        <w:tblPrEx>
          <w:shd w:val="clear" w:color="auto" w:fill="auto"/>
        </w:tblPrEx>
        <w:tc>
          <w:tcPr>
            <w:tcW w:w="4868" w:type="dxa"/>
          </w:tcPr>
          <w:p w14:paraId="0E51152C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Court case number</w:t>
            </w:r>
          </w:p>
          <w:p w14:paraId="57A5EB8F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68" w:type="dxa"/>
          </w:tcPr>
          <w:p w14:paraId="134ABE18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8B4135" w14:paraId="277EDDDD" w14:textId="77777777" w:rsidTr="004E4B89">
        <w:tblPrEx>
          <w:shd w:val="clear" w:color="auto" w:fill="auto"/>
        </w:tblPrEx>
        <w:tc>
          <w:tcPr>
            <w:tcW w:w="4868" w:type="dxa"/>
          </w:tcPr>
          <w:p w14:paraId="72D54778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Filed by</w:t>
            </w:r>
          </w:p>
        </w:tc>
        <w:tc>
          <w:tcPr>
            <w:tcW w:w="4868" w:type="dxa"/>
          </w:tcPr>
          <w:p w14:paraId="7B23BC9A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Gateshead Local Authority</w:t>
            </w:r>
          </w:p>
          <w:p w14:paraId="25076372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B4135" w14:paraId="07D43771" w14:textId="77777777" w:rsidTr="004E4B89">
        <w:tblPrEx>
          <w:shd w:val="clear" w:color="auto" w:fill="auto"/>
        </w:tblPrEx>
        <w:tc>
          <w:tcPr>
            <w:tcW w:w="4868" w:type="dxa"/>
          </w:tcPr>
          <w:p w14:paraId="49122BC5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This author/witness’s name, qualifications and office address</w:t>
            </w:r>
          </w:p>
          <w:p w14:paraId="5925FF27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68" w:type="dxa"/>
          </w:tcPr>
          <w:p w14:paraId="21BA6C29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8B4135" w14:paraId="1A17C1D2" w14:textId="77777777" w:rsidTr="004E4B89">
        <w:tblPrEx>
          <w:shd w:val="clear" w:color="auto" w:fill="auto"/>
        </w:tblPrEx>
        <w:tc>
          <w:tcPr>
            <w:tcW w:w="4868" w:type="dxa"/>
          </w:tcPr>
          <w:p w14:paraId="735F95A8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This author/witness’s Social Work England registration number</w:t>
            </w:r>
          </w:p>
          <w:p w14:paraId="34FD434C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68" w:type="dxa"/>
          </w:tcPr>
          <w:p w14:paraId="730B786C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8B4135" w14:paraId="33DD1876" w14:textId="77777777" w:rsidTr="004E4B89">
        <w:tblPrEx>
          <w:shd w:val="clear" w:color="auto" w:fill="auto"/>
        </w:tblPrEx>
        <w:tc>
          <w:tcPr>
            <w:tcW w:w="4868" w:type="dxa"/>
          </w:tcPr>
          <w:p w14:paraId="1C734F10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 have been the allocated social worker for [insert name(s)] since [date(s)]</w:t>
            </w:r>
          </w:p>
          <w:p w14:paraId="0EACCE04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68" w:type="dxa"/>
          </w:tcPr>
          <w:p w14:paraId="16682195" w14:textId="77777777" w:rsidR="008B4135" w:rsidRDefault="008B4135" w:rsidP="004E4B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4003DB6" w14:textId="77777777" w:rsidR="008B4135" w:rsidRDefault="008B4135" w:rsidP="008B4135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2"/>
          <w:szCs w:val="22"/>
        </w:rPr>
      </w:pPr>
    </w:p>
    <w:p w14:paraId="7E422151" w14:textId="1F72A026" w:rsidR="001B239A" w:rsidRDefault="001B239A" w:rsidP="004B5BA0"/>
    <w:p w14:paraId="0B768E93" w14:textId="73BCA42A" w:rsidR="001B239A" w:rsidRDefault="001B239A" w:rsidP="001B239A">
      <w:pPr>
        <w:ind w:left="2790"/>
        <w:rPr>
          <w:b/>
          <w:bCs/>
          <w:sz w:val="22"/>
          <w:szCs w:val="22"/>
        </w:rPr>
      </w:pPr>
      <w:r w:rsidRPr="001B239A">
        <w:rPr>
          <w:b/>
          <w:bCs/>
          <w:sz w:val="22"/>
          <w:szCs w:val="22"/>
        </w:rPr>
        <w:t xml:space="preserve">The facts in this </w:t>
      </w:r>
      <w:r>
        <w:rPr>
          <w:b/>
          <w:bCs/>
          <w:sz w:val="22"/>
          <w:szCs w:val="22"/>
        </w:rPr>
        <w:t>application are true to the best of my knowledge and belief and the opinions set out are my own.</w:t>
      </w:r>
    </w:p>
    <w:p w14:paraId="26F2C77C" w14:textId="4ADBACFF" w:rsidR="001B239A" w:rsidRDefault="001B239A" w:rsidP="004B5BA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51"/>
      </w:tblGrid>
      <w:tr w:rsidR="001B239A" w14:paraId="318D28FF" w14:textId="77777777" w:rsidTr="001B239A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AB670" w14:textId="77777777" w:rsidR="001B239A" w:rsidRDefault="001B239A" w:rsidP="008B4135">
            <w:pPr>
              <w:ind w:left="-108"/>
              <w:rPr>
                <w:sz w:val="22"/>
                <w:szCs w:val="22"/>
              </w:rPr>
            </w:pPr>
          </w:p>
          <w:p w14:paraId="01392010" w14:textId="18627F0D" w:rsidR="001B239A" w:rsidRDefault="001B239A" w:rsidP="008B41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  <w:bookmarkStart w:id="0" w:name="_GoBack"/>
            <w:bookmarkEnd w:id="0"/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078FC535" w14:textId="77777777" w:rsidR="001B239A" w:rsidRDefault="001B239A" w:rsidP="004B5BA0">
            <w:pPr>
              <w:rPr>
                <w:sz w:val="22"/>
                <w:szCs w:val="22"/>
              </w:rPr>
            </w:pPr>
          </w:p>
        </w:tc>
      </w:tr>
    </w:tbl>
    <w:p w14:paraId="6888A161" w14:textId="5CA3F1E9" w:rsidR="001B239A" w:rsidRDefault="001B239A" w:rsidP="004B5BA0">
      <w:pPr>
        <w:rPr>
          <w:sz w:val="22"/>
          <w:szCs w:val="22"/>
        </w:rPr>
      </w:pPr>
    </w:p>
    <w:p w14:paraId="20833425" w14:textId="77777777" w:rsidR="001B239A" w:rsidRDefault="001B239A" w:rsidP="001B239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51"/>
      </w:tblGrid>
      <w:tr w:rsidR="001B239A" w14:paraId="5013EBA3" w14:textId="77777777" w:rsidTr="001B239A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204B" w14:textId="77777777" w:rsidR="001B239A" w:rsidRDefault="001B239A" w:rsidP="008B4135">
            <w:pPr>
              <w:ind w:left="-108"/>
              <w:rPr>
                <w:sz w:val="22"/>
                <w:szCs w:val="22"/>
              </w:rPr>
            </w:pPr>
          </w:p>
          <w:p w14:paraId="037FFC37" w14:textId="4FEB7E8B" w:rsidR="001B239A" w:rsidRDefault="001B239A" w:rsidP="008B41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Completion:</w:t>
            </w:r>
          </w:p>
        </w:tc>
        <w:tc>
          <w:tcPr>
            <w:tcW w:w="6951" w:type="dxa"/>
            <w:tcBorders>
              <w:left w:val="single" w:sz="4" w:space="0" w:color="auto"/>
            </w:tcBorders>
          </w:tcPr>
          <w:p w14:paraId="5FFB8B17" w14:textId="77777777" w:rsidR="001B239A" w:rsidRDefault="001B239A" w:rsidP="001B239A">
            <w:pPr>
              <w:rPr>
                <w:sz w:val="22"/>
                <w:szCs w:val="22"/>
              </w:rPr>
            </w:pPr>
          </w:p>
        </w:tc>
      </w:tr>
    </w:tbl>
    <w:p w14:paraId="2743B6D7" w14:textId="77777777" w:rsidR="001B239A" w:rsidRDefault="001B239A" w:rsidP="001B239A">
      <w:pPr>
        <w:rPr>
          <w:sz w:val="22"/>
          <w:szCs w:val="22"/>
        </w:rPr>
      </w:pPr>
    </w:p>
    <w:p w14:paraId="18845229" w14:textId="116940B6" w:rsidR="001B239A" w:rsidRDefault="001B239A" w:rsidP="004B5BA0">
      <w:pPr>
        <w:rPr>
          <w:sz w:val="22"/>
          <w:szCs w:val="22"/>
        </w:rPr>
      </w:pPr>
    </w:p>
    <w:p w14:paraId="0DE430AE" w14:textId="062C3D49" w:rsidR="001B239A" w:rsidRDefault="001B23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6C79AD" w14:textId="77777777" w:rsidR="001B239A" w:rsidRPr="0049606B" w:rsidRDefault="001B239A" w:rsidP="001B239A">
      <w:pPr>
        <w:pStyle w:val="ListParagraph"/>
        <w:ind w:left="360"/>
        <w:rPr>
          <w:rFonts w:cs="Arial"/>
        </w:rPr>
      </w:pPr>
    </w:p>
    <w:p w14:paraId="53D1DE92" w14:textId="77777777" w:rsidR="004B5BA0" w:rsidRPr="002218C7" w:rsidRDefault="004B5BA0" w:rsidP="004B5BA0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2218C7">
        <w:rPr>
          <w:rFonts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5546F91" w14:textId="77777777" w:rsidR="004B5BA0" w:rsidRPr="00E65010" w:rsidRDefault="004B5BA0" w:rsidP="004B5BA0">
      <w:pPr>
        <w:rPr>
          <w:sz w:val="22"/>
          <w:szCs w:val="2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4B5BA0" w:rsidRPr="002218C7" w14:paraId="54F6E8B7" w14:textId="77777777" w:rsidTr="004B5BA0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0348D011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color w:val="000000" w:themeColor="text1"/>
                <w:sz w:val="22"/>
                <w:szCs w:val="22"/>
              </w:rPr>
              <w:t>No Order (indicate preferred option with ‘X’)</w:t>
            </w:r>
          </w:p>
          <w:p w14:paraId="1B62CD1B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634FBD" w14:textId="77777777" w:rsidR="004B5BA0" w:rsidRPr="0055053D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color w:val="000000" w:themeColor="text1"/>
              </w:rPr>
            </w:pPr>
          </w:p>
        </w:tc>
      </w:tr>
      <w:tr w:rsidR="004B5BA0" w:rsidRPr="002218C7" w14:paraId="3114C096" w14:textId="77777777" w:rsidTr="004B5BA0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1F4A9344" w14:textId="14923E28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color w:val="000000" w:themeColor="text1"/>
                <w:sz w:val="22"/>
                <w:szCs w:val="22"/>
              </w:rPr>
              <w:t>Interim Supervision Order</w:t>
            </w:r>
          </w:p>
          <w:p w14:paraId="0B0068EE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9C6220B" w14:textId="77777777" w:rsidR="004B5BA0" w:rsidRPr="0055053D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color w:val="000000" w:themeColor="text1"/>
              </w:rPr>
            </w:pPr>
          </w:p>
        </w:tc>
      </w:tr>
      <w:tr w:rsidR="004B5BA0" w:rsidRPr="002218C7" w14:paraId="1203BD0F" w14:textId="77777777" w:rsidTr="004B5BA0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042D0400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color w:val="000000" w:themeColor="text1"/>
                <w:sz w:val="22"/>
                <w:szCs w:val="22"/>
              </w:rPr>
              <w:t>Interim Care Order</w:t>
            </w:r>
          </w:p>
          <w:p w14:paraId="4DFF2EBE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1B11872" w14:textId="77777777" w:rsidR="004B5BA0" w:rsidRPr="0055053D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color w:val="000000" w:themeColor="text1"/>
              </w:rPr>
            </w:pPr>
          </w:p>
        </w:tc>
      </w:tr>
      <w:tr w:rsidR="004B5BA0" w:rsidRPr="002218C7" w14:paraId="770FD224" w14:textId="77777777" w:rsidTr="004B5BA0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3478B4A7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color w:val="000000" w:themeColor="text1"/>
                <w:sz w:val="22"/>
                <w:szCs w:val="22"/>
              </w:rPr>
              <w:t>Other Orders Sought</w:t>
            </w:r>
          </w:p>
          <w:p w14:paraId="15B73A18" w14:textId="77777777" w:rsidR="004B5BA0" w:rsidRPr="001B239A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13C72E0" w14:textId="77777777" w:rsidR="004B5BA0" w:rsidRPr="0055053D" w:rsidRDefault="004B5BA0" w:rsidP="004B5BA0">
            <w:pPr>
              <w:tabs>
                <w:tab w:val="left" w:pos="566"/>
                <w:tab w:val="left" w:pos="1479"/>
              </w:tabs>
              <w:rPr>
                <w:rFonts w:cs="Arial"/>
                <w:color w:val="000000" w:themeColor="text1"/>
              </w:rPr>
            </w:pPr>
          </w:p>
        </w:tc>
      </w:tr>
    </w:tbl>
    <w:p w14:paraId="7F6E9A9D" w14:textId="77777777" w:rsidR="004B5BA0" w:rsidRPr="001B239A" w:rsidRDefault="004B5BA0" w:rsidP="004B5BA0">
      <w:pPr>
        <w:rPr>
          <w:rFonts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4B5BA0" w:rsidRPr="002218C7" w14:paraId="7BEE6D5C" w14:textId="77777777" w:rsidTr="004B5BA0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512E653B" w14:textId="49673708" w:rsidR="004B5BA0" w:rsidRPr="001B239A" w:rsidRDefault="004B5BA0" w:rsidP="004B5BA0">
            <w:pPr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color w:val="000000" w:themeColor="text1"/>
                <w:sz w:val="22"/>
                <w:szCs w:val="22"/>
              </w:rPr>
              <w:t>Reasons for an application for interim order(s):</w:t>
            </w:r>
          </w:p>
        </w:tc>
      </w:tr>
      <w:tr w:rsidR="004B5BA0" w:rsidRPr="002218C7" w14:paraId="3215FCD6" w14:textId="77777777" w:rsidTr="00400C33">
        <w:trPr>
          <w:trHeight w:val="1316"/>
          <w:jc w:val="center"/>
        </w:trPr>
        <w:tc>
          <w:tcPr>
            <w:tcW w:w="9781" w:type="dxa"/>
          </w:tcPr>
          <w:p w14:paraId="53AEC002" w14:textId="77777777" w:rsidR="004B5BA0" w:rsidRDefault="004B5BA0" w:rsidP="00400C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63AE5594" w14:textId="349BAFA9" w:rsidR="00400C33" w:rsidRPr="00E65010" w:rsidRDefault="00400C33" w:rsidP="00400C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0917C88" w14:textId="77777777" w:rsidR="004B5BA0" w:rsidRPr="00E65010" w:rsidRDefault="004B5BA0" w:rsidP="004B5BA0">
      <w:pPr>
        <w:rPr>
          <w:sz w:val="22"/>
          <w:szCs w:val="22"/>
        </w:rPr>
      </w:pPr>
    </w:p>
    <w:p w14:paraId="38631844" w14:textId="68C07A69" w:rsidR="004B5BA0" w:rsidRPr="001B239A" w:rsidRDefault="004B5BA0" w:rsidP="004B5BA0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1B239A">
        <w:rPr>
          <w:rFonts w:cs="Arial"/>
          <w:b/>
          <w:color w:val="000000" w:themeColor="text1"/>
          <w:sz w:val="24"/>
          <w:szCs w:val="24"/>
        </w:rPr>
        <w:t>The impact of harm on the child/ren (including an initial analysis of risk and protective factors)</w:t>
      </w:r>
    </w:p>
    <w:p w14:paraId="4CA6BEA5" w14:textId="77777777" w:rsidR="004B5BA0" w:rsidRPr="001B239A" w:rsidRDefault="004B5BA0" w:rsidP="004B5BA0">
      <w:pPr>
        <w:rPr>
          <w:rFonts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4B5BA0" w:rsidRPr="002218C7" w14:paraId="7C2CEFC9" w14:textId="77777777" w:rsidTr="004B5BA0">
        <w:trPr>
          <w:trHeight w:val="1402"/>
          <w:jc w:val="center"/>
        </w:trPr>
        <w:tc>
          <w:tcPr>
            <w:tcW w:w="9867" w:type="dxa"/>
          </w:tcPr>
          <w:p w14:paraId="12F34FFE" w14:textId="77777777" w:rsidR="004B5BA0" w:rsidRPr="00E65010" w:rsidRDefault="004B5BA0" w:rsidP="004B5BA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B508C8E" w14:textId="77777777" w:rsidR="004B5BA0" w:rsidRPr="002218C7" w:rsidRDefault="004B5BA0" w:rsidP="004B5BA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0CACF7" w14:textId="77777777" w:rsidR="001B239A" w:rsidRDefault="001B239A" w:rsidP="001B239A"/>
    <w:p w14:paraId="4DB3BA44" w14:textId="1831F1B1" w:rsidR="001B239A" w:rsidRPr="001B239A" w:rsidRDefault="001B239A" w:rsidP="001B239A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1B239A">
        <w:rPr>
          <w:rFonts w:cs="Arial"/>
          <w:b/>
          <w:color w:val="000000" w:themeColor="text1"/>
          <w:sz w:val="24"/>
          <w:szCs w:val="24"/>
        </w:rPr>
        <w:t>Initial analysis of the evidence of wider family and friends’s capabilities to meet the needs of the child/ren</w:t>
      </w:r>
    </w:p>
    <w:p w14:paraId="4F11DE27" w14:textId="77777777" w:rsidR="001B239A" w:rsidRPr="001B239A" w:rsidRDefault="001B239A" w:rsidP="001B239A">
      <w:pPr>
        <w:rPr>
          <w:rFonts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4B5BA0" w:rsidRPr="002218C7" w14:paraId="1DE00011" w14:textId="77777777" w:rsidTr="004B5BA0">
        <w:trPr>
          <w:trHeight w:val="1640"/>
          <w:jc w:val="center"/>
        </w:trPr>
        <w:tc>
          <w:tcPr>
            <w:tcW w:w="9883" w:type="dxa"/>
          </w:tcPr>
          <w:p w14:paraId="0D5C02B1" w14:textId="77777777" w:rsidR="004B5BA0" w:rsidRPr="00E65010" w:rsidRDefault="004B5BA0" w:rsidP="00400C33">
            <w:pPr>
              <w:pStyle w:val="Default"/>
              <w:rPr>
                <w:bCs/>
                <w:color w:val="000000" w:themeColor="text1"/>
              </w:rPr>
            </w:pPr>
          </w:p>
        </w:tc>
      </w:tr>
    </w:tbl>
    <w:p w14:paraId="0A017EB5" w14:textId="77777777" w:rsidR="001B239A" w:rsidRDefault="001B239A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br w:type="page"/>
      </w:r>
    </w:p>
    <w:p w14:paraId="55C3C325" w14:textId="77777777" w:rsidR="004B5BA0" w:rsidRPr="001B239A" w:rsidRDefault="004B5BA0" w:rsidP="004B5BA0">
      <w:pPr>
        <w:rPr>
          <w:rFonts w:cs="Arial"/>
          <w:bCs/>
          <w:color w:val="000000" w:themeColor="text1"/>
          <w:sz w:val="22"/>
          <w:szCs w:val="22"/>
        </w:rPr>
      </w:pPr>
    </w:p>
    <w:p w14:paraId="0B39B531" w14:textId="761E9026" w:rsidR="004B5BA0" w:rsidRPr="001B239A" w:rsidRDefault="004B5BA0" w:rsidP="004B5BA0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1B239A">
        <w:rPr>
          <w:rFonts w:cs="Arial"/>
          <w:b/>
          <w:color w:val="000000" w:themeColor="text1"/>
          <w:sz w:val="24"/>
          <w:szCs w:val="24"/>
        </w:rPr>
        <w:t>Realistic placement option(s)</w:t>
      </w:r>
    </w:p>
    <w:p w14:paraId="3FE8D7BE" w14:textId="77777777" w:rsidR="004B5BA0" w:rsidRPr="001B239A" w:rsidRDefault="004B5BA0" w:rsidP="004B5BA0">
      <w:pPr>
        <w:rPr>
          <w:rFonts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4B5BA0" w:rsidRPr="002218C7" w14:paraId="167BA4E5" w14:textId="77777777" w:rsidTr="004B5BA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2A95DAD" w14:textId="77777777" w:rsidR="004B5BA0" w:rsidRPr="001B239A" w:rsidRDefault="004B5BA0" w:rsidP="004B5BA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B239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The preferred and proposed placement option for [child] is [placement]</w:t>
            </w:r>
          </w:p>
        </w:tc>
      </w:tr>
      <w:tr w:rsidR="004B5BA0" w:rsidRPr="00E65010" w14:paraId="4DF13177" w14:textId="77777777" w:rsidTr="004B5BA0">
        <w:trPr>
          <w:trHeight w:val="1309"/>
          <w:jc w:val="center"/>
        </w:trPr>
        <w:tc>
          <w:tcPr>
            <w:tcW w:w="9891" w:type="dxa"/>
          </w:tcPr>
          <w:p w14:paraId="53D282CF" w14:textId="2A64D6D8" w:rsidR="00E65010" w:rsidRPr="00E65010" w:rsidRDefault="00E65010" w:rsidP="00400C33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182FE35" w14:textId="77777777" w:rsidR="004C613B" w:rsidRPr="00E65010" w:rsidRDefault="004C613B" w:rsidP="004B5BA0">
      <w:pPr>
        <w:rPr>
          <w:sz w:val="22"/>
          <w:szCs w:val="22"/>
        </w:rPr>
      </w:pPr>
    </w:p>
    <w:p w14:paraId="39037C25" w14:textId="6CDF97AD" w:rsidR="004B5BA0" w:rsidRDefault="004B5BA0" w:rsidP="004C613B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4C613B">
        <w:rPr>
          <w:rFonts w:cs="Arial"/>
          <w:b/>
          <w:color w:val="000000" w:themeColor="text1"/>
          <w:sz w:val="24"/>
          <w:szCs w:val="24"/>
        </w:rPr>
        <w:t>The range of views of other parties</w:t>
      </w:r>
    </w:p>
    <w:p w14:paraId="05DEAAE7" w14:textId="77777777" w:rsidR="004B5BA0" w:rsidRPr="004C613B" w:rsidRDefault="004B5BA0" w:rsidP="004B5BA0">
      <w:pPr>
        <w:rPr>
          <w:rFonts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4B5BA0" w:rsidRPr="002218C7" w14:paraId="54F8AEC3" w14:textId="77777777" w:rsidTr="004B5BA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A4F0827" w14:textId="77777777" w:rsidR="004B5BA0" w:rsidRPr="004C613B" w:rsidRDefault="004B5BA0" w:rsidP="004B5BA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noProof/>
                <w:color w:val="000000" w:themeColor="text1"/>
                <w:sz w:val="22"/>
                <w:szCs w:val="22"/>
              </w:rPr>
              <w:t>5.1 Views of the child/ren</w:t>
            </w:r>
          </w:p>
        </w:tc>
      </w:tr>
      <w:tr w:rsidR="004B5BA0" w:rsidRPr="002218C7" w14:paraId="2289E18B" w14:textId="77777777" w:rsidTr="004B5BA0">
        <w:trPr>
          <w:trHeight w:val="1309"/>
          <w:jc w:val="center"/>
        </w:trPr>
        <w:tc>
          <w:tcPr>
            <w:tcW w:w="9891" w:type="dxa"/>
          </w:tcPr>
          <w:p w14:paraId="5A678628" w14:textId="77777777" w:rsidR="004B5BA0" w:rsidRPr="004C613B" w:rsidRDefault="004B5BA0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  <w:p w14:paraId="509295CE" w14:textId="77777777" w:rsidR="004B5BA0" w:rsidRPr="004C613B" w:rsidRDefault="004B5BA0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E9E65F1" w14:textId="77777777" w:rsidR="004B5BA0" w:rsidRPr="004C613B" w:rsidRDefault="004B5BA0" w:rsidP="004B5BA0">
      <w:pPr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4B5BA0" w:rsidRPr="002218C7" w14:paraId="14D18946" w14:textId="77777777" w:rsidTr="004B5BA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DB99D3A" w14:textId="77777777" w:rsidR="004B5BA0" w:rsidRPr="004C613B" w:rsidRDefault="004B5BA0" w:rsidP="004B5BA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noProof/>
                <w:color w:val="000000" w:themeColor="text1"/>
                <w:sz w:val="22"/>
                <w:szCs w:val="22"/>
              </w:rPr>
              <w:t>5.2 Mother’s views (include full name and date of birth)</w:t>
            </w:r>
          </w:p>
        </w:tc>
      </w:tr>
      <w:tr w:rsidR="004B5BA0" w:rsidRPr="002218C7" w14:paraId="255CF758" w14:textId="77777777" w:rsidTr="004B5BA0">
        <w:trPr>
          <w:trHeight w:val="1309"/>
          <w:jc w:val="center"/>
        </w:trPr>
        <w:tc>
          <w:tcPr>
            <w:tcW w:w="9891" w:type="dxa"/>
          </w:tcPr>
          <w:p w14:paraId="2CDBD69D" w14:textId="77777777" w:rsidR="004B5BA0" w:rsidRDefault="004B5BA0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  <w:p w14:paraId="458BF5AE" w14:textId="5B21703E" w:rsidR="004C613B" w:rsidRPr="004C613B" w:rsidRDefault="004C613B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89AA5B" w14:textId="77777777" w:rsidR="004B5BA0" w:rsidRPr="004C613B" w:rsidRDefault="004B5BA0" w:rsidP="004B5BA0">
      <w:pPr>
        <w:rPr>
          <w:sz w:val="22"/>
          <w:szCs w:val="22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4B5BA0" w:rsidRPr="002218C7" w14:paraId="7D6B3ADE" w14:textId="77777777" w:rsidTr="004B5BA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DAB554" w14:textId="77777777" w:rsidR="004B5BA0" w:rsidRPr="004C613B" w:rsidRDefault="004B5BA0" w:rsidP="004B5BA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noProof/>
                <w:color w:val="000000" w:themeColor="text1"/>
                <w:sz w:val="22"/>
                <w:szCs w:val="22"/>
              </w:rPr>
              <w:t>5.3 Father’s views (include full name and date of birth)</w:t>
            </w:r>
          </w:p>
        </w:tc>
      </w:tr>
      <w:tr w:rsidR="004B5BA0" w:rsidRPr="002218C7" w14:paraId="41420483" w14:textId="77777777" w:rsidTr="004B5BA0">
        <w:trPr>
          <w:trHeight w:val="1309"/>
          <w:jc w:val="center"/>
        </w:trPr>
        <w:tc>
          <w:tcPr>
            <w:tcW w:w="9891" w:type="dxa"/>
          </w:tcPr>
          <w:p w14:paraId="72617BAD" w14:textId="77777777" w:rsidR="004B5BA0" w:rsidRDefault="004B5BA0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  <w:p w14:paraId="15BE514F" w14:textId="5765AB17" w:rsidR="004C613B" w:rsidRPr="004C613B" w:rsidRDefault="004C613B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CB3F401" w14:textId="77777777" w:rsidR="004B5BA0" w:rsidRPr="004C613B" w:rsidRDefault="004B5BA0" w:rsidP="004B5BA0">
      <w:pPr>
        <w:rPr>
          <w:sz w:val="22"/>
          <w:szCs w:val="22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4B5BA0" w:rsidRPr="002218C7" w14:paraId="46B8FB92" w14:textId="77777777" w:rsidTr="004B5BA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EA478BF" w14:textId="77777777" w:rsidR="004B5BA0" w:rsidRPr="004C613B" w:rsidRDefault="004B5BA0" w:rsidP="004B5BA0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noProof/>
                <w:color w:val="000000" w:themeColor="text1"/>
                <w:sz w:val="22"/>
                <w:szCs w:val="22"/>
              </w:rPr>
              <w:t>5.4 Views of wider family members (include full name and date of birth)</w:t>
            </w:r>
          </w:p>
        </w:tc>
      </w:tr>
      <w:tr w:rsidR="004B5BA0" w:rsidRPr="002218C7" w14:paraId="7DA35B02" w14:textId="77777777" w:rsidTr="004B5BA0">
        <w:trPr>
          <w:trHeight w:val="1309"/>
          <w:jc w:val="center"/>
        </w:trPr>
        <w:tc>
          <w:tcPr>
            <w:tcW w:w="9891" w:type="dxa"/>
          </w:tcPr>
          <w:p w14:paraId="03106358" w14:textId="77777777" w:rsidR="004C613B" w:rsidRDefault="004C613B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  <w:p w14:paraId="4197F51E" w14:textId="020B3582" w:rsidR="004C613B" w:rsidRPr="004C613B" w:rsidRDefault="004C613B" w:rsidP="004B5BA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EE75721" w14:textId="24FBCC38" w:rsidR="004C613B" w:rsidRDefault="004C613B" w:rsidP="004B5BA0">
      <w:pPr>
        <w:pStyle w:val="ListParagraph"/>
        <w:tabs>
          <w:tab w:val="left" w:pos="142"/>
        </w:tabs>
        <w:ind w:left="360"/>
        <w:rPr>
          <w:rFonts w:cs="Arial"/>
          <w:bCs/>
          <w:color w:val="000000" w:themeColor="text1"/>
          <w:sz w:val="24"/>
          <w:szCs w:val="24"/>
          <w:lang w:eastAsia="en-GB"/>
        </w:rPr>
      </w:pPr>
    </w:p>
    <w:p w14:paraId="6AD65084" w14:textId="77777777" w:rsidR="004C613B" w:rsidRDefault="004C613B">
      <w:pPr>
        <w:rPr>
          <w:rFonts w:cs="Arial"/>
          <w:bCs/>
          <w:color w:val="000000" w:themeColor="text1"/>
          <w:sz w:val="24"/>
          <w:szCs w:val="24"/>
          <w:lang w:eastAsia="en-GB"/>
        </w:rPr>
      </w:pPr>
      <w:r>
        <w:rPr>
          <w:rFonts w:cs="Arial"/>
          <w:bCs/>
          <w:color w:val="000000" w:themeColor="text1"/>
          <w:sz w:val="24"/>
          <w:szCs w:val="24"/>
          <w:lang w:eastAsia="en-GB"/>
        </w:rPr>
        <w:br w:type="page"/>
      </w:r>
    </w:p>
    <w:p w14:paraId="2162A2F4" w14:textId="77777777" w:rsidR="004C613B" w:rsidRDefault="004C613B" w:rsidP="004C613B"/>
    <w:p w14:paraId="5708FAAD" w14:textId="77777777" w:rsidR="004C613B" w:rsidRPr="004C613B" w:rsidRDefault="004C613B" w:rsidP="004C613B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4C613B">
        <w:rPr>
          <w:rFonts w:cs="Arial"/>
          <w:b/>
          <w:color w:val="000000" w:themeColor="text1"/>
          <w:sz w:val="24"/>
          <w:szCs w:val="24"/>
        </w:rPr>
        <w:t>The family time / contact plan</w:t>
      </w:r>
    </w:p>
    <w:p w14:paraId="33ACA477" w14:textId="220D1AE3" w:rsidR="004C613B" w:rsidRDefault="004C613B" w:rsidP="004C613B">
      <w:pPr>
        <w:rPr>
          <w:rFonts w:cs="Arial"/>
          <w:bCs/>
          <w:color w:val="000000" w:themeColor="text1"/>
          <w:sz w:val="22"/>
          <w:szCs w:val="22"/>
        </w:rPr>
      </w:pPr>
    </w:p>
    <w:p w14:paraId="7354D7AE" w14:textId="405F4C63" w:rsidR="004B5BA0" w:rsidRDefault="004C613B" w:rsidP="004B5BA0">
      <w:pPr>
        <w:tabs>
          <w:tab w:val="left" w:pos="142"/>
        </w:tabs>
        <w:rPr>
          <w:rFonts w:cs="Arial"/>
          <w:bCs/>
          <w:color w:val="000000" w:themeColor="text1"/>
          <w:sz w:val="22"/>
          <w:szCs w:val="22"/>
          <w:lang w:eastAsia="en-GB"/>
        </w:rPr>
      </w:pPr>
      <w:r w:rsidRPr="004C613B">
        <w:rPr>
          <w:rFonts w:cs="Arial"/>
          <w:bCs/>
          <w:color w:val="000000" w:themeColor="text1"/>
          <w:sz w:val="22"/>
          <w:szCs w:val="22"/>
          <w:lang w:eastAsia="en-GB"/>
        </w:rPr>
        <w:t>T</w:t>
      </w:r>
      <w:r w:rsidR="004B5BA0" w:rsidRPr="004C613B">
        <w:rPr>
          <w:rFonts w:cs="Arial"/>
          <w:bCs/>
          <w:color w:val="000000" w:themeColor="text1"/>
          <w:sz w:val="22"/>
          <w:szCs w:val="22"/>
          <w:lang w:eastAsia="en-GB"/>
        </w:rPr>
        <w:t>he family time / contact plan should seek to involve siblings and others with whom the child has a significant relationship.  It must be kept under review as circumstances change.</w:t>
      </w:r>
    </w:p>
    <w:p w14:paraId="2302522D" w14:textId="77777777" w:rsidR="004C613B" w:rsidRPr="004C613B" w:rsidRDefault="004C613B" w:rsidP="004B5BA0">
      <w:pPr>
        <w:tabs>
          <w:tab w:val="left" w:pos="142"/>
        </w:tabs>
        <w:rPr>
          <w:rFonts w:cs="Arial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4B5BA0" w:rsidRPr="00E65010" w14:paraId="64AB81FE" w14:textId="77777777" w:rsidTr="004B5BA0">
        <w:trPr>
          <w:trHeight w:val="1640"/>
          <w:jc w:val="center"/>
        </w:trPr>
        <w:tc>
          <w:tcPr>
            <w:tcW w:w="9883" w:type="dxa"/>
          </w:tcPr>
          <w:p w14:paraId="3E1BCD8F" w14:textId="77777777" w:rsidR="004B5BA0" w:rsidRPr="00E65010" w:rsidRDefault="004B5BA0" w:rsidP="004B5BA0">
            <w:pPr>
              <w:pStyle w:val="ListParagraph"/>
              <w:ind w:left="0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77070DDB" w14:textId="7CBB7245" w:rsidR="00E65010" w:rsidRPr="00E65010" w:rsidRDefault="00E65010" w:rsidP="004B5BA0">
            <w:pPr>
              <w:pStyle w:val="ListParagraph"/>
              <w:ind w:left="0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22A6DBCB" w14:textId="541FA1C3" w:rsidR="004B5BA0" w:rsidRDefault="004B5BA0" w:rsidP="004B5BA0">
      <w:pPr>
        <w:tabs>
          <w:tab w:val="left" w:pos="142"/>
        </w:tabs>
        <w:rPr>
          <w:rFonts w:cs="Arial"/>
          <w:bCs/>
          <w:color w:val="000000" w:themeColor="text1"/>
          <w:sz w:val="22"/>
          <w:szCs w:val="22"/>
          <w:lang w:eastAsia="en-GB"/>
        </w:rPr>
      </w:pPr>
    </w:p>
    <w:p w14:paraId="5A582146" w14:textId="77777777" w:rsidR="004C613B" w:rsidRPr="004C613B" w:rsidRDefault="004C613B" w:rsidP="004C613B">
      <w:pPr>
        <w:pStyle w:val="ListParagraph"/>
        <w:numPr>
          <w:ilvl w:val="0"/>
          <w:numId w:val="26"/>
        </w:numPr>
        <w:rPr>
          <w:rFonts w:cs="Arial"/>
          <w:b/>
          <w:color w:val="000000" w:themeColor="text1"/>
          <w:sz w:val="24"/>
          <w:szCs w:val="24"/>
        </w:rPr>
      </w:pPr>
      <w:r w:rsidRPr="004C613B">
        <w:rPr>
          <w:rFonts w:cs="Arial"/>
          <w:b/>
          <w:color w:val="000000" w:themeColor="text1"/>
          <w:sz w:val="24"/>
          <w:szCs w:val="24"/>
        </w:rPr>
        <w:t>Statement of procedural fairness</w:t>
      </w:r>
    </w:p>
    <w:p w14:paraId="5C8D9C7D" w14:textId="65781E8F" w:rsidR="004C613B" w:rsidRDefault="004C613B" w:rsidP="004B5BA0">
      <w:pPr>
        <w:tabs>
          <w:tab w:val="left" w:pos="142"/>
        </w:tabs>
        <w:rPr>
          <w:rFonts w:cs="Arial"/>
          <w:bCs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4B5BA0" w:rsidRPr="00E65010" w14:paraId="399178C5" w14:textId="77777777" w:rsidTr="004B5BA0">
        <w:trPr>
          <w:trHeight w:val="1640"/>
          <w:jc w:val="center"/>
        </w:trPr>
        <w:tc>
          <w:tcPr>
            <w:tcW w:w="9883" w:type="dxa"/>
          </w:tcPr>
          <w:p w14:paraId="5017BBEE" w14:textId="4EBEB517" w:rsidR="00E65010" w:rsidRPr="00E65010" w:rsidRDefault="00E65010" w:rsidP="00400C33">
            <w:pPr>
              <w:pStyle w:val="ListParagraph"/>
              <w:ind w:left="0"/>
              <w:jc w:val="both"/>
              <w:rPr>
                <w:rFonts w:cs="Arial"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1CD2F935" w14:textId="77777777" w:rsidR="004B5BA0" w:rsidRPr="00E65010" w:rsidRDefault="004B5BA0" w:rsidP="004B5BA0">
      <w:pPr>
        <w:rPr>
          <w:sz w:val="22"/>
          <w:szCs w:val="22"/>
        </w:rPr>
      </w:pPr>
    </w:p>
    <w:p w14:paraId="2D5282E8" w14:textId="3A1E76E3" w:rsidR="004B5BA0" w:rsidRDefault="004B5BA0" w:rsidP="004B5BA0">
      <w:pPr>
        <w:rPr>
          <w:sz w:val="22"/>
          <w:szCs w:val="22"/>
        </w:rPr>
      </w:pPr>
    </w:p>
    <w:p w14:paraId="3DC3A4ED" w14:textId="159AF65C" w:rsidR="004C613B" w:rsidRDefault="004C613B" w:rsidP="004B5BA0">
      <w:pPr>
        <w:rPr>
          <w:sz w:val="22"/>
          <w:szCs w:val="22"/>
        </w:rPr>
      </w:pPr>
    </w:p>
    <w:p w14:paraId="74E9EE3A" w14:textId="4D6519DC" w:rsidR="004C613B" w:rsidRDefault="004C613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2B9BAC" w14:textId="7FAD7450" w:rsidR="004C613B" w:rsidRDefault="004C613B" w:rsidP="004B5B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APPENDIX 1: The Social Work Chronology</w:t>
      </w:r>
    </w:p>
    <w:p w14:paraId="27709C3B" w14:textId="77777777" w:rsidR="004C613B" w:rsidRPr="004C613B" w:rsidRDefault="004C613B" w:rsidP="004B5BA0">
      <w:pPr>
        <w:rPr>
          <w:sz w:val="22"/>
          <w:szCs w:val="22"/>
        </w:rPr>
      </w:pPr>
    </w:p>
    <w:p w14:paraId="586BB51C" w14:textId="4C02A54E" w:rsidR="004B5BA0" w:rsidRPr="004C613B" w:rsidRDefault="004B5BA0" w:rsidP="004C613B">
      <w:pPr>
        <w:numPr>
          <w:ilvl w:val="0"/>
          <w:numId w:val="28"/>
        </w:numPr>
        <w:ind w:left="540" w:hanging="540"/>
        <w:rPr>
          <w:rFonts w:cs="Arial"/>
          <w:i/>
          <w:iCs/>
          <w:noProof/>
          <w:color w:val="000000" w:themeColor="text1"/>
          <w:sz w:val="22"/>
          <w:szCs w:val="22"/>
        </w:rPr>
      </w:pPr>
      <w:r w:rsidRPr="004C613B">
        <w:rPr>
          <w:rFonts w:cs="Arial"/>
          <w:i/>
          <w:iCs/>
          <w:noProof/>
          <w:color w:val="000000" w:themeColor="text1"/>
          <w:sz w:val="22"/>
          <w:szCs w:val="22"/>
        </w:rPr>
        <w:t xml:space="preserve">Recognising the gravity of the situation requiring an urgent application to the court, please list the most significant events </w:t>
      </w:r>
      <w:r w:rsidRPr="004C613B">
        <w:rPr>
          <w:rFonts w:cs="Arial"/>
          <w:b/>
          <w:i/>
          <w:iCs/>
          <w:noProof/>
          <w:color w:val="000000" w:themeColor="text1"/>
          <w:sz w:val="22"/>
          <w:szCs w:val="22"/>
        </w:rPr>
        <w:t xml:space="preserve">which can be evidenced </w:t>
      </w:r>
      <w:r w:rsidRPr="004C613B">
        <w:rPr>
          <w:rFonts w:cs="Arial"/>
          <w:bCs/>
          <w:i/>
          <w:iCs/>
          <w:noProof/>
          <w:color w:val="000000" w:themeColor="text1"/>
          <w:sz w:val="22"/>
          <w:szCs w:val="22"/>
        </w:rPr>
        <w:t>here</w:t>
      </w:r>
      <w:r w:rsidRPr="004C613B">
        <w:rPr>
          <w:rFonts w:cs="Arial"/>
          <w:i/>
          <w:iCs/>
          <w:noProof/>
          <w:color w:val="000000" w:themeColor="text1"/>
          <w:sz w:val="22"/>
          <w:szCs w:val="22"/>
        </w:rPr>
        <w:t>.</w:t>
      </w:r>
    </w:p>
    <w:p w14:paraId="370FC718" w14:textId="1C8C8C69" w:rsidR="004B5BA0" w:rsidRPr="004C613B" w:rsidRDefault="004B5BA0" w:rsidP="004C613B">
      <w:pPr>
        <w:numPr>
          <w:ilvl w:val="0"/>
          <w:numId w:val="28"/>
        </w:numPr>
        <w:ind w:left="540" w:hanging="540"/>
        <w:rPr>
          <w:rFonts w:cs="Arial"/>
          <w:i/>
          <w:iCs/>
          <w:noProof/>
          <w:color w:val="000000" w:themeColor="text1"/>
          <w:sz w:val="22"/>
          <w:szCs w:val="22"/>
        </w:rPr>
      </w:pPr>
      <w:r w:rsidRPr="004C613B">
        <w:rPr>
          <w:rFonts w:cs="Arial"/>
          <w:i/>
          <w:iCs/>
          <w:noProof/>
          <w:color w:val="000000" w:themeColor="text1"/>
          <w:sz w:val="22"/>
          <w:szCs w:val="22"/>
        </w:rPr>
        <w:t xml:space="preserve">Focus on the last </w:t>
      </w:r>
      <w:r w:rsidRPr="004C613B">
        <w:rPr>
          <w:rFonts w:cs="Arial"/>
          <w:b/>
          <w:bCs/>
          <w:i/>
          <w:iCs/>
          <w:noProof/>
          <w:color w:val="000000" w:themeColor="text1"/>
          <w:sz w:val="22"/>
          <w:szCs w:val="22"/>
        </w:rPr>
        <w:t xml:space="preserve">three to six months, </w:t>
      </w:r>
      <w:r w:rsidRPr="004C613B">
        <w:rPr>
          <w:rFonts w:cs="Arial"/>
          <w:i/>
          <w:iCs/>
          <w:noProof/>
          <w:color w:val="000000" w:themeColor="text1"/>
          <w:sz w:val="22"/>
          <w:szCs w:val="22"/>
        </w:rPr>
        <w:t>time permitting.</w:t>
      </w:r>
    </w:p>
    <w:p w14:paraId="7355A7FA" w14:textId="77777777" w:rsidR="004B5BA0" w:rsidRPr="004C613B" w:rsidRDefault="004B5BA0" w:rsidP="004C613B">
      <w:pPr>
        <w:numPr>
          <w:ilvl w:val="0"/>
          <w:numId w:val="28"/>
        </w:numPr>
        <w:ind w:left="540" w:hanging="540"/>
        <w:rPr>
          <w:rFonts w:cs="Arial"/>
          <w:i/>
          <w:iCs/>
          <w:noProof/>
          <w:color w:val="000000" w:themeColor="text1"/>
          <w:sz w:val="22"/>
          <w:szCs w:val="22"/>
        </w:rPr>
      </w:pPr>
      <w:r w:rsidRPr="004C613B">
        <w:rPr>
          <w:rFonts w:cs="Arial"/>
          <w:i/>
          <w:iCs/>
          <w:noProof/>
          <w:color w:val="000000" w:themeColor="text1"/>
          <w:sz w:val="22"/>
          <w:szCs w:val="22"/>
        </w:rPr>
        <w:t>Make reference to any significant events in the last two years or beyond felt to be of relevance here.</w:t>
      </w:r>
    </w:p>
    <w:p w14:paraId="381A0DDE" w14:textId="77777777" w:rsidR="004B5BA0" w:rsidRPr="004C613B" w:rsidRDefault="004B5BA0" w:rsidP="004B5BA0">
      <w:pPr>
        <w:tabs>
          <w:tab w:val="left" w:pos="1479"/>
        </w:tabs>
        <w:rPr>
          <w:rFonts w:cs="Arial"/>
          <w:bC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752"/>
        <w:gridCol w:w="2738"/>
      </w:tblGrid>
      <w:tr w:rsidR="004B5BA0" w:rsidRPr="004C613B" w14:paraId="54B0D1BE" w14:textId="77777777" w:rsidTr="004B5BA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92D4CA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FA2CBD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color w:val="000000" w:themeColor="text1"/>
                <w:sz w:val="22"/>
                <w:szCs w:val="22"/>
              </w:rPr>
              <w:t>Incident or sequence of incidents relevant to the child/ren’s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9322F5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C613B">
              <w:rPr>
                <w:rFonts w:cs="Arial"/>
                <w:b/>
                <w:color w:val="000000" w:themeColor="text1"/>
                <w:sz w:val="22"/>
                <w:szCs w:val="22"/>
              </w:rPr>
              <w:t>Impact on the child/ren</w:t>
            </w:r>
          </w:p>
        </w:tc>
      </w:tr>
      <w:tr w:rsidR="004B5BA0" w:rsidRPr="004C613B" w14:paraId="4DC71C6D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B3D78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1D719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59DE5" w14:textId="77777777" w:rsidR="004B5BA0" w:rsidRPr="004C613B" w:rsidRDefault="004B5BA0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4D9517C5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77EB4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94B6E7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98AF8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151AB0C0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C6F28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111D2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57949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133E8BF3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47FDA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9B66B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81A1C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37EBD481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52EFB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845C0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8A62C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5BCC9D10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44E0BF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EB49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51894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096EA4DA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4435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58F80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F1111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349413CD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C0AA8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C19D54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D9899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171568CE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6E70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2A9EA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5D3DB6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2B77A153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4FD9E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25EEE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0BAB6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68DAD677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B66CD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39BAA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7B6C1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C613B" w:rsidRPr="004C613B" w14:paraId="473D5601" w14:textId="77777777" w:rsidTr="004C613B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8267A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922BD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66F6D" w14:textId="77777777" w:rsidR="004C613B" w:rsidRPr="004C613B" w:rsidRDefault="004C613B" w:rsidP="004B5BA0">
            <w:pPr>
              <w:tabs>
                <w:tab w:val="left" w:pos="1479"/>
              </w:tabs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4280A80" w14:textId="66D27F8C" w:rsidR="004B5BA0" w:rsidRDefault="004B5BA0" w:rsidP="004B5BA0">
      <w:pPr>
        <w:rPr>
          <w:sz w:val="22"/>
          <w:szCs w:val="22"/>
        </w:rPr>
      </w:pPr>
    </w:p>
    <w:p w14:paraId="3473FA52" w14:textId="6056FB2C" w:rsidR="004C613B" w:rsidRDefault="004C613B" w:rsidP="004B5BA0">
      <w:pPr>
        <w:rPr>
          <w:sz w:val="22"/>
          <w:szCs w:val="22"/>
        </w:rPr>
      </w:pPr>
    </w:p>
    <w:p w14:paraId="03EEA998" w14:textId="75ECE131" w:rsidR="004C613B" w:rsidRDefault="004C613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87FEC0" w14:textId="2E6E8581" w:rsidR="004C613B" w:rsidRDefault="004C613B" w:rsidP="004B5B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APPENDIX 2:  The Welfare Checklist in full for reference</w:t>
      </w:r>
    </w:p>
    <w:p w14:paraId="61048240" w14:textId="0505B52C" w:rsidR="004C613B" w:rsidRDefault="004C613B" w:rsidP="004B5BA0">
      <w:pPr>
        <w:rPr>
          <w:sz w:val="22"/>
          <w:szCs w:val="22"/>
        </w:rPr>
      </w:pPr>
    </w:p>
    <w:p w14:paraId="47040198" w14:textId="498DC3E8" w:rsidR="004C613B" w:rsidRDefault="004C613B" w:rsidP="004B5BA0">
      <w:pPr>
        <w:rPr>
          <w:sz w:val="22"/>
          <w:szCs w:val="22"/>
        </w:rPr>
      </w:pPr>
      <w:r>
        <w:rPr>
          <w:sz w:val="22"/>
          <w:szCs w:val="22"/>
        </w:rPr>
        <w:t>The full Children Act checklist to be used in care and supervision proceedings is found a section 1 (3) (a) – (g) and requires the court to have regard to the following matters:</w:t>
      </w:r>
    </w:p>
    <w:p w14:paraId="182B95F8" w14:textId="5B251772" w:rsidR="004C613B" w:rsidRDefault="004C613B" w:rsidP="004B5B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079"/>
      </w:tblGrid>
      <w:tr w:rsidR="004B5BA0" w:rsidRPr="004C613B" w14:paraId="5378BB17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711F1C3" w14:textId="3293F4E2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a)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6746DED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ascertainable wishes and feelings of the child/children concerned (considered in the light of their age and understanding);</w:t>
            </w:r>
          </w:p>
          <w:p w14:paraId="4BA9FDC1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3E8799AE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35C" w14:textId="712660BC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b)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0BE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Their physical, emotional and educational needs;</w:t>
            </w:r>
          </w:p>
          <w:p w14:paraId="799E0736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0D786755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31F73D0" w14:textId="6859F5F2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c)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AAD6F8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likely effect on them of any change in his/her/their circumstances;</w:t>
            </w:r>
          </w:p>
          <w:p w14:paraId="6D05AADA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711E247C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E5A" w14:textId="5E3D233F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d)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E90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Their age, sex, background and any characteristics of his/hers/theirs which the court considers relevant;</w:t>
            </w:r>
          </w:p>
          <w:p w14:paraId="737881F2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348CAFB0" w14:textId="77777777" w:rsidTr="004C613B">
        <w:trPr>
          <w:trHeight w:val="5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C6AA7C1" w14:textId="6A7E1C06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e)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2B25096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Any harm which they have suffered or are at risk of suffering;</w:t>
            </w:r>
          </w:p>
          <w:p w14:paraId="5DCA4A2E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66C60D7F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8C6" w14:textId="030600DA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f)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27E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How capable each of their parents, and any other person in relation to whom the court considers the question to be relevant, is of meeting his/her/their needs;</w:t>
            </w:r>
          </w:p>
          <w:p w14:paraId="44C8CF50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4C86B700" w14:textId="77777777" w:rsidTr="004C613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700AE62" w14:textId="185B698A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g)</w:t>
            </w:r>
          </w:p>
        </w:tc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02EB8FF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range of powers available to the court under this Act (Children Act 1989) in the proceedings in question.</w:t>
            </w:r>
          </w:p>
          <w:p w14:paraId="2B7BEED9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67274F5E" w14:textId="2C4F8F22" w:rsidR="004B5BA0" w:rsidRDefault="004B5BA0" w:rsidP="004B5BA0">
      <w:pPr>
        <w:tabs>
          <w:tab w:val="left" w:pos="-426"/>
        </w:tabs>
        <w:rPr>
          <w:rFonts w:cs="Arial"/>
          <w:noProof/>
          <w:sz w:val="21"/>
          <w:szCs w:val="21"/>
        </w:rPr>
      </w:pPr>
    </w:p>
    <w:p w14:paraId="0332E0A0" w14:textId="77777777" w:rsidR="00E65010" w:rsidRDefault="00E65010" w:rsidP="004B5BA0">
      <w:pPr>
        <w:tabs>
          <w:tab w:val="left" w:pos="-426"/>
        </w:tabs>
        <w:rPr>
          <w:rFonts w:cs="Arial"/>
          <w:noProof/>
          <w:sz w:val="21"/>
          <w:szCs w:val="21"/>
        </w:rPr>
      </w:pPr>
    </w:p>
    <w:p w14:paraId="32928A72" w14:textId="452CE93D" w:rsidR="004C613B" w:rsidRDefault="004C613B" w:rsidP="004B5BA0">
      <w:pPr>
        <w:tabs>
          <w:tab w:val="left" w:pos="-426"/>
        </w:tabs>
        <w:rPr>
          <w:rFonts w:cs="Arial"/>
          <w:noProof/>
          <w:sz w:val="21"/>
          <w:szCs w:val="21"/>
        </w:rPr>
      </w:pPr>
      <w:r>
        <w:rPr>
          <w:rFonts w:cs="Arial"/>
          <w:noProof/>
          <w:sz w:val="21"/>
          <w:szCs w:val="21"/>
        </w:rPr>
        <w:t>The full Adoption and Children Act welfare checklist to be used in care proceedings where the plan is for adoption and in placement proceedings, is found in section 1 (4) (a) – (f) and requires the court and the adoption agency to have regard to the following matters (amongst others):</w:t>
      </w:r>
    </w:p>
    <w:p w14:paraId="6A1CB737" w14:textId="4D470D7E" w:rsidR="004B5BA0" w:rsidRDefault="004B5BA0" w:rsidP="004B5BA0">
      <w:pPr>
        <w:tabs>
          <w:tab w:val="left" w:pos="-426"/>
        </w:tabs>
        <w:rPr>
          <w:rFonts w:cs="Arial"/>
          <w:noProof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075"/>
      </w:tblGrid>
      <w:tr w:rsidR="004B5BA0" w:rsidRPr="004C613B" w14:paraId="5B0C4FE0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AADB2A9" w14:textId="5EA1684F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ABFD00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child’s ascertainable wishes and feelings regarding the decision (considered in the light of the child’s age and understanding);</w:t>
            </w:r>
          </w:p>
          <w:p w14:paraId="7515A949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55CE8228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60C" w14:textId="712B850C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C86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child’s particular needs;</w:t>
            </w:r>
          </w:p>
          <w:p w14:paraId="00E46A4B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072AFE05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E641A3D" w14:textId="2D9C2235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14F7612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likely effect on the child (throughout theirlife) of having ceased to be a member of the original family and become an adopted person;</w:t>
            </w:r>
          </w:p>
          <w:p w14:paraId="30715733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0925C4C3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CC07" w14:textId="59D9270A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396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child’s age, sex, background and any of the child’s characteristics which the court or agency considers relevant;</w:t>
            </w:r>
          </w:p>
          <w:p w14:paraId="4281D06D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44C76469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8FA142E" w14:textId="7ABB9806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CE4EA0C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any harm (within the meaning of the Children Act 1989 (c. 41)) which the child has suffered or is at risk of suffering;</w:t>
            </w:r>
          </w:p>
          <w:p w14:paraId="74F3B72E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4B5BA0" w:rsidRPr="004C613B" w14:paraId="451C4551" w14:textId="77777777" w:rsidTr="004B5B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DDFF" w14:textId="09C425E1" w:rsidR="004B5BA0" w:rsidRPr="004C613B" w:rsidRDefault="004C613B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(</w:t>
            </w:r>
            <w:r w:rsidR="004B5BA0" w:rsidRPr="004C613B">
              <w:rPr>
                <w:rFonts w:cs="Arial"/>
                <w:noProof/>
                <w:sz w:val="22"/>
                <w:szCs w:val="22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EEA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2B08213B" w14:textId="77777777" w:rsidR="004B5BA0" w:rsidRPr="004C613B" w:rsidRDefault="004B5BA0" w:rsidP="004B5BA0">
            <w:pPr>
              <w:tabs>
                <w:tab w:val="left" w:pos="-426"/>
              </w:tabs>
              <w:rPr>
                <w:rFonts w:cs="Arial"/>
                <w:noProof/>
                <w:sz w:val="22"/>
                <w:szCs w:val="22"/>
              </w:rPr>
            </w:pPr>
          </w:p>
          <w:p w14:paraId="71EF8D14" w14:textId="77777777" w:rsidR="004B5BA0" w:rsidRPr="004C613B" w:rsidRDefault="004B5BA0" w:rsidP="004B5BA0">
            <w:pPr>
              <w:widowControl w:val="0"/>
              <w:numPr>
                <w:ilvl w:val="0"/>
                <w:numId w:val="34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likelihood of any such relationship continuing and the value of the child of its doing so,</w:t>
            </w:r>
          </w:p>
          <w:p w14:paraId="0E043566" w14:textId="77777777" w:rsidR="004B5BA0" w:rsidRPr="004C613B" w:rsidRDefault="004B5BA0" w:rsidP="004B5BA0">
            <w:pPr>
              <w:widowControl w:val="0"/>
              <w:numPr>
                <w:ilvl w:val="0"/>
                <w:numId w:val="34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490AFBE2" w14:textId="77777777" w:rsidR="004B5BA0" w:rsidRDefault="004B5BA0" w:rsidP="004B5BA0">
            <w:pPr>
              <w:widowControl w:val="0"/>
              <w:numPr>
                <w:ilvl w:val="0"/>
                <w:numId w:val="34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2"/>
                <w:szCs w:val="22"/>
              </w:rPr>
            </w:pPr>
            <w:r w:rsidRPr="004C613B">
              <w:rPr>
                <w:rFonts w:cs="Arial"/>
                <w:noProof/>
                <w:sz w:val="22"/>
                <w:szCs w:val="22"/>
              </w:rPr>
              <w:t>the wishes and feelings of any of the child’s relatives, or of any such person, regarding the child.</w:t>
            </w:r>
          </w:p>
          <w:p w14:paraId="52814AB8" w14:textId="199A21AF" w:rsidR="004C613B" w:rsidRPr="004C613B" w:rsidRDefault="004C613B" w:rsidP="004C613B">
            <w:pPr>
              <w:widowControl w:val="0"/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689C1169" w14:textId="77777777" w:rsidR="004B5BA0" w:rsidRDefault="004B5BA0" w:rsidP="004B5BA0"/>
    <w:sectPr w:rsidR="004B5BA0" w:rsidSect="002D565F">
      <w:headerReference w:type="default" r:id="rId7"/>
      <w:footerReference w:type="default" r:id="rId8"/>
      <w:pgSz w:w="11906" w:h="16838" w:code="9"/>
      <w:pgMar w:top="1077" w:right="1009" w:bottom="289" w:left="1151" w:header="0" w:footer="24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34C8" w14:textId="77777777" w:rsidR="004C613B" w:rsidRDefault="004C613B">
      <w:r>
        <w:separator/>
      </w:r>
    </w:p>
  </w:endnote>
  <w:endnote w:type="continuationSeparator" w:id="0">
    <w:p w14:paraId="4E1A44AB" w14:textId="77777777" w:rsidR="004C613B" w:rsidRDefault="004C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4D7" w14:textId="71113EE8" w:rsidR="004C613B" w:rsidRPr="001B239A" w:rsidRDefault="004C613B" w:rsidP="001B239A">
    <w:pPr>
      <w:pStyle w:val="Footer"/>
      <w:rPr>
        <w:rStyle w:val="PageNumber"/>
        <w:sz w:val="18"/>
        <w:szCs w:val="18"/>
      </w:rPr>
    </w:pPr>
    <w:r w:rsidRPr="001B239A">
      <w:rPr>
        <w:rStyle w:val="PageNumber"/>
        <w:sz w:val="18"/>
        <w:szCs w:val="18"/>
      </w:rPr>
      <w:t>This document is confidential and contains sensitive information.  It should not be disclosed without the permission of the court.  Data protection standards must always be complied with.</w:t>
    </w:r>
  </w:p>
  <w:p w14:paraId="3DA73C3F" w14:textId="77777777" w:rsidR="004C613B" w:rsidRDefault="004C613B" w:rsidP="001B239A">
    <w:pPr>
      <w:pStyle w:val="Footer"/>
      <w:rPr>
        <w:rStyle w:val="PageNumber"/>
        <w:sz w:val="16"/>
        <w:szCs w:val="16"/>
      </w:rPr>
    </w:pPr>
  </w:p>
  <w:p w14:paraId="790E82E5" w14:textId="59B5A4B0" w:rsidR="004C613B" w:rsidRDefault="004C613B" w:rsidP="00AC3218">
    <w:pPr>
      <w:pStyle w:val="Footer"/>
      <w:jc w:val="center"/>
      <w:rPr>
        <w:rStyle w:val="PageNumber"/>
        <w:sz w:val="16"/>
        <w:szCs w:val="16"/>
      </w:rPr>
    </w:pPr>
    <w:r w:rsidRPr="0026540C">
      <w:rPr>
        <w:rStyle w:val="PageNumber"/>
        <w:sz w:val="16"/>
        <w:szCs w:val="16"/>
      </w:rPr>
      <w:fldChar w:fldCharType="begin"/>
    </w:r>
    <w:r w:rsidRPr="0026540C">
      <w:rPr>
        <w:rStyle w:val="PageNumber"/>
        <w:sz w:val="16"/>
        <w:szCs w:val="16"/>
      </w:rPr>
      <w:instrText xml:space="preserve"> PAGE </w:instrText>
    </w:r>
    <w:r w:rsidRPr="0026540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12</w:t>
    </w:r>
    <w:r w:rsidRPr="0026540C">
      <w:rPr>
        <w:rStyle w:val="PageNumber"/>
        <w:sz w:val="16"/>
        <w:szCs w:val="16"/>
      </w:rPr>
      <w:fldChar w:fldCharType="end"/>
    </w:r>
  </w:p>
  <w:p w14:paraId="287BE5FB" w14:textId="77777777" w:rsidR="004C613B" w:rsidRPr="0026540C" w:rsidRDefault="004C613B" w:rsidP="001B239A">
    <w:pPr>
      <w:pStyle w:val="Footer"/>
      <w:rPr>
        <w:snapToGrid w:val="0"/>
        <w:sz w:val="16"/>
        <w:szCs w:val="16"/>
      </w:rPr>
    </w:pPr>
  </w:p>
  <w:p w14:paraId="3CC08AB8" w14:textId="77777777" w:rsidR="004C613B" w:rsidRDefault="004C613B">
    <w:pPr>
      <w:pStyle w:val="Footer"/>
      <w:rPr>
        <w:sz w:val="16"/>
      </w:rPr>
    </w:pPr>
    <w:r w:rsidRPr="00BA0010">
      <w:rPr>
        <w:snapToGrid w:val="0"/>
        <w:sz w:val="16"/>
      </w:rPr>
      <w:fldChar w:fldCharType="begin"/>
    </w:r>
    <w:r w:rsidRPr="00BA0010">
      <w:rPr>
        <w:snapToGrid w:val="0"/>
        <w:sz w:val="16"/>
      </w:rPr>
      <w:instrText xml:space="preserve"> FILENAME </w:instrText>
    </w:r>
    <w:r w:rsidRPr="00BA0010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Document2</w:t>
    </w:r>
    <w:r w:rsidRPr="00BA0010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61E0" w14:textId="77777777" w:rsidR="004C613B" w:rsidRDefault="004C613B">
      <w:r>
        <w:separator/>
      </w:r>
    </w:p>
  </w:footnote>
  <w:footnote w:type="continuationSeparator" w:id="0">
    <w:p w14:paraId="5FEB9B37" w14:textId="77777777" w:rsidR="004C613B" w:rsidRDefault="004C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7E45" w14:textId="77777777" w:rsidR="004C613B" w:rsidRDefault="004C613B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D6E7D"/>
    <w:multiLevelType w:val="hybridMultilevel"/>
    <w:tmpl w:val="39B89968"/>
    <w:lvl w:ilvl="0" w:tplc="8E50189E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B7010"/>
    <w:multiLevelType w:val="hybridMultilevel"/>
    <w:tmpl w:val="2CD423DA"/>
    <w:lvl w:ilvl="0" w:tplc="4156DBA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A5161"/>
    <w:multiLevelType w:val="multilevel"/>
    <w:tmpl w:val="230870A4"/>
    <w:lvl w:ilvl="0">
      <w:start w:val="1"/>
      <w:numFmt w:val="decimal"/>
      <w:pStyle w:val="BodyText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lvlText w:val="%6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600C4"/>
    <w:multiLevelType w:val="multilevel"/>
    <w:tmpl w:val="9CBED276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CE5E24"/>
    <w:multiLevelType w:val="hybridMultilevel"/>
    <w:tmpl w:val="ACA0E0EE"/>
    <w:lvl w:ilvl="0" w:tplc="0B14726C">
      <w:start w:val="1"/>
      <w:numFmt w:val="decimal"/>
      <w:lvlText w:val="2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4568C"/>
    <w:multiLevelType w:val="multilevel"/>
    <w:tmpl w:val="53684E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decimal"/>
      <w:lvlText w:val="5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20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D4C76"/>
    <w:multiLevelType w:val="hybridMultilevel"/>
    <w:tmpl w:val="1FC8959C"/>
    <w:lvl w:ilvl="0" w:tplc="65FAC690">
      <w:start w:val="1"/>
      <w:numFmt w:val="decimal"/>
      <w:lvlText w:val="19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44AF6"/>
    <w:multiLevelType w:val="hybridMultilevel"/>
    <w:tmpl w:val="6D3E6F48"/>
    <w:lvl w:ilvl="0" w:tplc="15F0016E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B144E"/>
    <w:multiLevelType w:val="hybridMultilevel"/>
    <w:tmpl w:val="4EA8F6BA"/>
    <w:lvl w:ilvl="0" w:tplc="6F8CB7B0">
      <w:start w:val="1"/>
      <w:numFmt w:val="decimal"/>
      <w:lvlText w:val="2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C008F"/>
    <w:multiLevelType w:val="hybridMultilevel"/>
    <w:tmpl w:val="3B12908A"/>
    <w:lvl w:ilvl="0" w:tplc="E3EEC796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926A9B12">
      <w:start w:val="25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410C7"/>
    <w:multiLevelType w:val="multilevel"/>
    <w:tmpl w:val="EFF66DEE"/>
    <w:lvl w:ilvl="0">
      <w:start w:val="1"/>
      <w:numFmt w:val="decimal"/>
      <w:pStyle w:val="Head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0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76"/>
      </w:p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F346CC"/>
    <w:multiLevelType w:val="hybridMultilevel"/>
    <w:tmpl w:val="B0762E32"/>
    <w:lvl w:ilvl="0" w:tplc="60B8E1D2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76E2D"/>
    <w:multiLevelType w:val="hybridMultilevel"/>
    <w:tmpl w:val="4F468614"/>
    <w:lvl w:ilvl="0" w:tplc="559CC4D0">
      <w:start w:val="1"/>
      <w:numFmt w:val="decimal"/>
      <w:lvlText w:val="1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805EF"/>
    <w:multiLevelType w:val="hybridMultilevel"/>
    <w:tmpl w:val="851866E6"/>
    <w:lvl w:ilvl="0" w:tplc="D2708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4199"/>
    <w:multiLevelType w:val="multilevel"/>
    <w:tmpl w:val="7EB45F1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A416486"/>
    <w:multiLevelType w:val="hybridMultilevel"/>
    <w:tmpl w:val="4BA6A5E0"/>
    <w:lvl w:ilvl="0" w:tplc="86F6025A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3631"/>
    <w:multiLevelType w:val="hybridMultilevel"/>
    <w:tmpl w:val="FB58F3E4"/>
    <w:lvl w:ilvl="0" w:tplc="6D3AA550">
      <w:start w:val="1"/>
      <w:numFmt w:val="decimal"/>
      <w:lvlText w:val="9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34DA2"/>
    <w:multiLevelType w:val="hybridMultilevel"/>
    <w:tmpl w:val="240892B4"/>
    <w:lvl w:ilvl="0" w:tplc="4F40CE08">
      <w:start w:val="1"/>
      <w:numFmt w:val="decimal"/>
      <w:lvlText w:val="21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B5BF0"/>
    <w:multiLevelType w:val="hybridMultilevel"/>
    <w:tmpl w:val="8C460602"/>
    <w:lvl w:ilvl="0" w:tplc="049AF75E">
      <w:start w:val="1"/>
      <w:numFmt w:val="decimal"/>
      <w:lvlText w:val="1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D7A70"/>
    <w:multiLevelType w:val="hybridMultilevel"/>
    <w:tmpl w:val="0D48E1EC"/>
    <w:lvl w:ilvl="0" w:tplc="56FED56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D32571"/>
    <w:multiLevelType w:val="hybridMultilevel"/>
    <w:tmpl w:val="7722D764"/>
    <w:lvl w:ilvl="0" w:tplc="744C0AE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75AEE"/>
    <w:multiLevelType w:val="hybridMultilevel"/>
    <w:tmpl w:val="B5CA99A4"/>
    <w:lvl w:ilvl="0" w:tplc="7FE05526">
      <w:start w:val="1"/>
      <w:numFmt w:val="decimal"/>
      <w:lvlText w:val="16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82703"/>
    <w:multiLevelType w:val="hybridMultilevel"/>
    <w:tmpl w:val="BA8AFAAC"/>
    <w:lvl w:ilvl="0" w:tplc="F0CE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D03AC"/>
    <w:multiLevelType w:val="hybridMultilevel"/>
    <w:tmpl w:val="80B6525A"/>
    <w:lvl w:ilvl="0" w:tplc="9ACAB288">
      <w:start w:val="1"/>
      <w:numFmt w:val="decimal"/>
      <w:pStyle w:val="Heading3"/>
      <w:lvlText w:val="%1"/>
      <w:lvlJc w:val="left"/>
      <w:pPr>
        <w:tabs>
          <w:tab w:val="num" w:pos="504"/>
        </w:tabs>
        <w:ind w:left="504" w:hanging="504"/>
      </w:pPr>
      <w:rPr>
        <w:rFonts w:ascii="Arial" w:hAnsi="Arial" w:hint="default"/>
      </w:rPr>
    </w:lvl>
    <w:lvl w:ilvl="1" w:tplc="DB20F1F4">
      <w:start w:val="1"/>
      <w:numFmt w:val="decimal"/>
      <w:pStyle w:val="Heading4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7E11"/>
    <w:multiLevelType w:val="hybridMultilevel"/>
    <w:tmpl w:val="1194CB12"/>
    <w:lvl w:ilvl="0" w:tplc="F70E7F14">
      <w:start w:val="1"/>
      <w:numFmt w:val="decimal"/>
      <w:lvlText w:val="18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18"/>
  </w:num>
  <w:num w:numId="5">
    <w:abstractNumId w:val="27"/>
  </w:num>
  <w:num w:numId="6">
    <w:abstractNumId w:val="6"/>
  </w:num>
  <w:num w:numId="7">
    <w:abstractNumId w:val="13"/>
  </w:num>
  <w:num w:numId="8">
    <w:abstractNumId w:val="20"/>
  </w:num>
  <w:num w:numId="9">
    <w:abstractNumId w:val="22"/>
  </w:num>
  <w:num w:numId="10">
    <w:abstractNumId w:val="1"/>
  </w:num>
  <w:num w:numId="11">
    <w:abstractNumId w:val="11"/>
  </w:num>
  <w:num w:numId="12">
    <w:abstractNumId w:val="14"/>
  </w:num>
  <w:num w:numId="13">
    <w:abstractNumId w:val="25"/>
  </w:num>
  <w:num w:numId="14">
    <w:abstractNumId w:val="26"/>
  </w:num>
  <w:num w:numId="15">
    <w:abstractNumId w:val="9"/>
  </w:num>
  <w:num w:numId="16">
    <w:abstractNumId w:val="28"/>
  </w:num>
  <w:num w:numId="17">
    <w:abstractNumId w:val="2"/>
  </w:num>
  <w:num w:numId="18">
    <w:abstractNumId w:val="31"/>
  </w:num>
  <w:num w:numId="19">
    <w:abstractNumId w:val="8"/>
  </w:num>
  <w:num w:numId="20">
    <w:abstractNumId w:val="23"/>
  </w:num>
  <w:num w:numId="21">
    <w:abstractNumId w:val="5"/>
  </w:num>
  <w:num w:numId="22">
    <w:abstractNumId w:val="10"/>
  </w:num>
  <w:num w:numId="23">
    <w:abstractNumId w:val="4"/>
  </w:num>
  <w:num w:numId="24">
    <w:abstractNumId w:val="29"/>
  </w:num>
  <w:num w:numId="25">
    <w:abstractNumId w:val="15"/>
  </w:num>
  <w:num w:numId="26">
    <w:abstractNumId w:val="0"/>
  </w:num>
  <w:num w:numId="27">
    <w:abstractNumId w:val="21"/>
  </w:num>
  <w:num w:numId="28">
    <w:abstractNumId w:val="32"/>
  </w:num>
  <w:num w:numId="29">
    <w:abstractNumId w:val="19"/>
  </w:num>
  <w:num w:numId="30">
    <w:abstractNumId w:val="16"/>
  </w:num>
  <w:num w:numId="31">
    <w:abstractNumId w:val="33"/>
  </w:num>
  <w:num w:numId="32">
    <w:abstractNumId w:val="7"/>
  </w:num>
  <w:num w:numId="33">
    <w:abstractNumId w:val="1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6"/>
    <w:rsid w:val="00002638"/>
    <w:rsid w:val="00052FCF"/>
    <w:rsid w:val="00061B29"/>
    <w:rsid w:val="000B1CF7"/>
    <w:rsid w:val="000D6436"/>
    <w:rsid w:val="001003AA"/>
    <w:rsid w:val="0015718C"/>
    <w:rsid w:val="00176A0A"/>
    <w:rsid w:val="00197BBD"/>
    <w:rsid w:val="001B239A"/>
    <w:rsid w:val="001B6A29"/>
    <w:rsid w:val="0026454F"/>
    <w:rsid w:val="0026540C"/>
    <w:rsid w:val="002B5F84"/>
    <w:rsid w:val="002C1298"/>
    <w:rsid w:val="002D565F"/>
    <w:rsid w:val="00334F56"/>
    <w:rsid w:val="00341E37"/>
    <w:rsid w:val="00360546"/>
    <w:rsid w:val="00367616"/>
    <w:rsid w:val="003744A6"/>
    <w:rsid w:val="00380C6B"/>
    <w:rsid w:val="003A468B"/>
    <w:rsid w:val="003A5780"/>
    <w:rsid w:val="003D2B22"/>
    <w:rsid w:val="00400C33"/>
    <w:rsid w:val="0044461E"/>
    <w:rsid w:val="0047575D"/>
    <w:rsid w:val="00480C28"/>
    <w:rsid w:val="004971CD"/>
    <w:rsid w:val="004B5BA0"/>
    <w:rsid w:val="004C613B"/>
    <w:rsid w:val="005729C2"/>
    <w:rsid w:val="00577095"/>
    <w:rsid w:val="00633CD7"/>
    <w:rsid w:val="00670EA1"/>
    <w:rsid w:val="006C3115"/>
    <w:rsid w:val="006E5752"/>
    <w:rsid w:val="007C70A8"/>
    <w:rsid w:val="0080770A"/>
    <w:rsid w:val="00824CDA"/>
    <w:rsid w:val="0083222C"/>
    <w:rsid w:val="00833467"/>
    <w:rsid w:val="008B4135"/>
    <w:rsid w:val="0090604B"/>
    <w:rsid w:val="00961CC2"/>
    <w:rsid w:val="009D46BE"/>
    <w:rsid w:val="009F40DB"/>
    <w:rsid w:val="00A44CBE"/>
    <w:rsid w:val="00AC3218"/>
    <w:rsid w:val="00B67CB9"/>
    <w:rsid w:val="00B7318D"/>
    <w:rsid w:val="00BA0010"/>
    <w:rsid w:val="00BF5E81"/>
    <w:rsid w:val="00C35581"/>
    <w:rsid w:val="00C37B4D"/>
    <w:rsid w:val="00C54FD9"/>
    <w:rsid w:val="00CA3F65"/>
    <w:rsid w:val="00CD0AA5"/>
    <w:rsid w:val="00D106A7"/>
    <w:rsid w:val="00D53A19"/>
    <w:rsid w:val="00D87A96"/>
    <w:rsid w:val="00DF3836"/>
    <w:rsid w:val="00E624AC"/>
    <w:rsid w:val="00E645E0"/>
    <w:rsid w:val="00E65010"/>
    <w:rsid w:val="00E90106"/>
    <w:rsid w:val="00EB1291"/>
    <w:rsid w:val="00EC1981"/>
    <w:rsid w:val="00ED2C7B"/>
    <w:rsid w:val="00EF6991"/>
    <w:rsid w:val="00F559EA"/>
    <w:rsid w:val="00F9038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CCD3E"/>
  <w15:docId w15:val="{57C3E43C-BDBF-4D2F-B9AE-FDFD5BA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right" w:pos="8064"/>
      </w:tabs>
      <w:ind w:left="720"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numPr>
        <w:numId w:val="2"/>
      </w:num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1440"/>
      </w:tabs>
      <w:ind w:left="720" w:hanging="72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pPr>
      <w:numPr>
        <w:numId w:val="1"/>
      </w:numPr>
      <w:jc w:val="both"/>
    </w:pPr>
    <w:rPr>
      <w:sz w:val="22"/>
    </w:rPr>
  </w:style>
  <w:style w:type="paragraph" w:customStyle="1" w:styleId="AutoCorrect">
    <w:name w:val="AutoCorrect"/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er"/>
    <w:pPr>
      <w:numPr>
        <w:numId w:val="0"/>
      </w:numPr>
      <w:tabs>
        <w:tab w:val="clear" w:pos="4320"/>
        <w:tab w:val="clear" w:pos="8640"/>
        <w:tab w:val="num" w:pos="720"/>
      </w:tabs>
      <w:ind w:left="720" w:hanging="720"/>
    </w:pPr>
  </w:style>
  <w:style w:type="character" w:styleId="PageNumber">
    <w:name w:val="page number"/>
    <w:basedOn w:val="DefaultParagraphFont"/>
    <w:rsid w:val="00AC3218"/>
  </w:style>
  <w:style w:type="paragraph" w:styleId="BodyText2">
    <w:name w:val="Body Text 2"/>
    <w:basedOn w:val="Normal"/>
    <w:rsid w:val="00E90106"/>
    <w:pPr>
      <w:spacing w:after="120" w:line="480" w:lineRule="auto"/>
    </w:pPr>
  </w:style>
  <w:style w:type="paragraph" w:styleId="BlockText">
    <w:name w:val="Block Text"/>
    <w:basedOn w:val="Normal"/>
    <w:rsid w:val="00E90106"/>
    <w:pPr>
      <w:tabs>
        <w:tab w:val="left" w:pos="540"/>
        <w:tab w:val="left" w:pos="3060"/>
        <w:tab w:val="left" w:pos="3960"/>
        <w:tab w:val="left" w:pos="6480"/>
      </w:tabs>
      <w:ind w:left="540" w:right="26" w:hanging="540"/>
    </w:pPr>
    <w:rPr>
      <w:sz w:val="22"/>
    </w:rPr>
  </w:style>
  <w:style w:type="table" w:styleId="TableGrid">
    <w:name w:val="Table Grid"/>
    <w:basedOn w:val="TableNormal"/>
    <w:uiPriority w:val="39"/>
    <w:rsid w:val="0080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0A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5BA0"/>
    <w:rPr>
      <w:rFonts w:ascii="Arial" w:hAnsi="Arial"/>
      <w:lang w:eastAsia="en-US"/>
    </w:rPr>
  </w:style>
  <w:style w:type="paragraph" w:customStyle="1" w:styleId="Default">
    <w:name w:val="Default"/>
    <w:rsid w:val="004B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B5B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ptBullets">
    <w:name w:val="DeptBullets"/>
    <w:basedOn w:val="Normal"/>
    <w:uiPriority w:val="99"/>
    <w:rsid w:val="004B5BA0"/>
    <w:pPr>
      <w:widowControl w:val="0"/>
      <w:numPr>
        <w:numId w:val="29"/>
      </w:numPr>
      <w:overflowPunct w:val="0"/>
      <w:autoSpaceDE w:val="0"/>
      <w:autoSpaceDN w:val="0"/>
      <w:adjustRightInd w:val="0"/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B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SCP A4</vt:lpstr>
    </vt:vector>
  </TitlesOfParts>
  <Company>Gateshead Council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 A4</dc:title>
  <dc:creator>Karen Wilce</dc:creator>
  <cp:lastModifiedBy>Karen Wilce</cp:lastModifiedBy>
  <cp:revision>4</cp:revision>
  <cp:lastPrinted>2013-07-24T07:47:00Z</cp:lastPrinted>
  <dcterms:created xsi:type="dcterms:W3CDTF">2021-05-14T08:22:00Z</dcterms:created>
  <dcterms:modified xsi:type="dcterms:W3CDTF">2021-05-14T10:18:00Z</dcterms:modified>
</cp:coreProperties>
</file>