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A022F" w14:textId="205EE74E" w:rsidR="002228FF" w:rsidRDefault="002228FF" w:rsidP="002228FF">
      <w:pPr>
        <w:shd w:val="clear" w:color="auto" w:fill="FFFFFF"/>
        <w:spacing w:after="77" w:line="270" w:lineRule="atLeast"/>
        <w:jc w:val="center"/>
        <w:outlineLvl w:val="0"/>
        <w:rPr>
          <w:rFonts w:ascii="Arial" w:eastAsia="Times New Roman" w:hAnsi="Arial" w:cs="Arial"/>
          <w:b/>
          <w:bCs/>
          <w:color w:val="000000"/>
          <w:kern w:val="36"/>
          <w:sz w:val="40"/>
          <w:szCs w:val="40"/>
          <w:lang w:eastAsia="en-GB"/>
          <w14:ligatures w14:val="none"/>
        </w:rPr>
      </w:pPr>
      <w:r w:rsidRPr="002228FF">
        <w:rPr>
          <w:rFonts w:ascii="Arial" w:eastAsia="Times New Roman" w:hAnsi="Arial" w:cs="Arial"/>
          <w:b/>
          <w:bCs/>
          <w:color w:val="000000"/>
          <w:kern w:val="36"/>
          <w:sz w:val="40"/>
          <w:szCs w:val="40"/>
          <w:lang w:eastAsia="en-GB"/>
          <w14:ligatures w14:val="none"/>
        </w:rPr>
        <w:t xml:space="preserve">Foster Carers Transfer </w:t>
      </w:r>
      <w:r>
        <w:rPr>
          <w:rFonts w:ascii="Arial" w:eastAsia="Times New Roman" w:hAnsi="Arial" w:cs="Arial"/>
          <w:b/>
          <w:bCs/>
          <w:color w:val="000000"/>
          <w:kern w:val="36"/>
          <w:sz w:val="40"/>
          <w:szCs w:val="40"/>
          <w:lang w:eastAsia="en-GB"/>
          <w14:ligatures w14:val="none"/>
        </w:rPr>
        <w:t>Meeting</w:t>
      </w:r>
    </w:p>
    <w:p w14:paraId="6729E353" w14:textId="77777777" w:rsidR="002228FF" w:rsidRDefault="002228FF" w:rsidP="002228FF">
      <w:pPr>
        <w:shd w:val="clear" w:color="auto" w:fill="FFFFFF"/>
        <w:spacing w:after="77" w:line="270" w:lineRule="atLeast"/>
        <w:jc w:val="center"/>
        <w:outlineLvl w:val="0"/>
        <w:rPr>
          <w:rFonts w:ascii="Arial" w:eastAsia="Times New Roman" w:hAnsi="Arial" w:cs="Arial"/>
          <w:b/>
          <w:bCs/>
          <w:color w:val="000000"/>
          <w:kern w:val="36"/>
          <w:sz w:val="40"/>
          <w:szCs w:val="40"/>
          <w:lang w:eastAsia="en-GB"/>
          <w14:ligatures w14:val="none"/>
        </w:rPr>
      </w:pPr>
    </w:p>
    <w:tbl>
      <w:tblPr>
        <w:tblStyle w:val="TableGrid"/>
        <w:tblW w:w="0" w:type="auto"/>
        <w:tblLook w:val="04A0" w:firstRow="1" w:lastRow="0" w:firstColumn="1" w:lastColumn="0" w:noHBand="0" w:noVBand="1"/>
      </w:tblPr>
      <w:tblGrid>
        <w:gridCol w:w="3681"/>
        <w:gridCol w:w="5335"/>
      </w:tblGrid>
      <w:tr w:rsidR="002228FF" w14:paraId="127FE7D4" w14:textId="77777777" w:rsidTr="002228FF">
        <w:tc>
          <w:tcPr>
            <w:tcW w:w="3681" w:type="dxa"/>
          </w:tcPr>
          <w:p w14:paraId="753CA02E" w14:textId="050F0EBF" w:rsidR="002228FF" w:rsidRPr="002228FF" w:rsidRDefault="002228FF" w:rsidP="002228FF">
            <w:pPr>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 xml:space="preserve">Date </w:t>
            </w:r>
          </w:p>
        </w:tc>
        <w:tc>
          <w:tcPr>
            <w:tcW w:w="5335" w:type="dxa"/>
          </w:tcPr>
          <w:p w14:paraId="31D9FB06" w14:textId="77777777" w:rsidR="002228FF" w:rsidRDefault="002228FF" w:rsidP="002228FF">
            <w:pPr>
              <w:spacing w:after="77" w:line="270" w:lineRule="atLeast"/>
              <w:jc w:val="center"/>
              <w:outlineLvl w:val="0"/>
              <w:rPr>
                <w:rFonts w:ascii="Arial" w:eastAsia="Times New Roman" w:hAnsi="Arial" w:cs="Arial"/>
                <w:b/>
                <w:bCs/>
                <w:color w:val="000000"/>
                <w:kern w:val="36"/>
                <w:sz w:val="40"/>
                <w:szCs w:val="40"/>
                <w:lang w:eastAsia="en-GB"/>
                <w14:ligatures w14:val="none"/>
              </w:rPr>
            </w:pPr>
          </w:p>
        </w:tc>
      </w:tr>
      <w:tr w:rsidR="002228FF" w14:paraId="25E9BB3C" w14:textId="77777777" w:rsidTr="002228FF">
        <w:tc>
          <w:tcPr>
            <w:tcW w:w="3681" w:type="dxa"/>
          </w:tcPr>
          <w:p w14:paraId="4FED70E7" w14:textId="33D2B3FD" w:rsidR="002228FF" w:rsidRPr="002228FF" w:rsidRDefault="002228FF" w:rsidP="002228FF">
            <w:pPr>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 xml:space="preserve">Current Fostering Agency </w:t>
            </w:r>
          </w:p>
        </w:tc>
        <w:tc>
          <w:tcPr>
            <w:tcW w:w="5335" w:type="dxa"/>
          </w:tcPr>
          <w:p w14:paraId="6311334B" w14:textId="77777777" w:rsidR="002228FF" w:rsidRDefault="002228FF" w:rsidP="002228FF">
            <w:pPr>
              <w:spacing w:after="77" w:line="270" w:lineRule="atLeast"/>
              <w:jc w:val="center"/>
              <w:outlineLvl w:val="0"/>
              <w:rPr>
                <w:rFonts w:ascii="Arial" w:eastAsia="Times New Roman" w:hAnsi="Arial" w:cs="Arial"/>
                <w:b/>
                <w:bCs/>
                <w:color w:val="000000"/>
                <w:kern w:val="36"/>
                <w:sz w:val="40"/>
                <w:szCs w:val="40"/>
                <w:lang w:eastAsia="en-GB"/>
                <w14:ligatures w14:val="none"/>
              </w:rPr>
            </w:pPr>
          </w:p>
        </w:tc>
      </w:tr>
      <w:tr w:rsidR="002228FF" w14:paraId="6E5660E7" w14:textId="77777777" w:rsidTr="002228FF">
        <w:tc>
          <w:tcPr>
            <w:tcW w:w="3681" w:type="dxa"/>
          </w:tcPr>
          <w:p w14:paraId="12C0B15C" w14:textId="5F471651" w:rsidR="002228FF" w:rsidRPr="002228FF" w:rsidRDefault="002228FF" w:rsidP="002228FF">
            <w:pPr>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Recruiting Fostering Agency</w:t>
            </w:r>
          </w:p>
        </w:tc>
        <w:tc>
          <w:tcPr>
            <w:tcW w:w="5335" w:type="dxa"/>
          </w:tcPr>
          <w:p w14:paraId="0560D19E" w14:textId="77777777" w:rsidR="002228FF" w:rsidRDefault="002228FF" w:rsidP="002228FF">
            <w:pPr>
              <w:spacing w:after="77" w:line="270" w:lineRule="atLeast"/>
              <w:jc w:val="center"/>
              <w:outlineLvl w:val="0"/>
              <w:rPr>
                <w:rFonts w:ascii="Arial" w:eastAsia="Times New Roman" w:hAnsi="Arial" w:cs="Arial"/>
                <w:b/>
                <w:bCs/>
                <w:color w:val="000000"/>
                <w:kern w:val="36"/>
                <w:sz w:val="40"/>
                <w:szCs w:val="40"/>
                <w:lang w:eastAsia="en-GB"/>
                <w14:ligatures w14:val="none"/>
              </w:rPr>
            </w:pPr>
          </w:p>
        </w:tc>
      </w:tr>
      <w:tr w:rsidR="002228FF" w14:paraId="600B547B" w14:textId="77777777" w:rsidTr="002228FF">
        <w:tc>
          <w:tcPr>
            <w:tcW w:w="3681" w:type="dxa"/>
          </w:tcPr>
          <w:p w14:paraId="02D07B34" w14:textId="5CB37C9C" w:rsidR="002228FF" w:rsidRPr="002228FF" w:rsidRDefault="002228FF" w:rsidP="002228FF">
            <w:pPr>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Name of foster carer/s</w:t>
            </w:r>
          </w:p>
        </w:tc>
        <w:tc>
          <w:tcPr>
            <w:tcW w:w="5335" w:type="dxa"/>
          </w:tcPr>
          <w:p w14:paraId="131321FB" w14:textId="77777777" w:rsidR="002228FF" w:rsidRDefault="002228FF" w:rsidP="002228FF">
            <w:pPr>
              <w:spacing w:after="77" w:line="270" w:lineRule="atLeast"/>
              <w:jc w:val="center"/>
              <w:outlineLvl w:val="0"/>
              <w:rPr>
                <w:rFonts w:ascii="Arial" w:eastAsia="Times New Roman" w:hAnsi="Arial" w:cs="Arial"/>
                <w:b/>
                <w:bCs/>
                <w:color w:val="000000"/>
                <w:kern w:val="36"/>
                <w:sz w:val="40"/>
                <w:szCs w:val="40"/>
                <w:lang w:eastAsia="en-GB"/>
                <w14:ligatures w14:val="none"/>
              </w:rPr>
            </w:pPr>
          </w:p>
        </w:tc>
      </w:tr>
      <w:tr w:rsidR="002228FF" w14:paraId="63EE46C9" w14:textId="77777777" w:rsidTr="002228FF">
        <w:tc>
          <w:tcPr>
            <w:tcW w:w="3681" w:type="dxa"/>
          </w:tcPr>
          <w:p w14:paraId="641FAE1D" w14:textId="77777777" w:rsidR="002228FF" w:rsidRDefault="002228FF" w:rsidP="002228FF">
            <w:pPr>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Attendees</w:t>
            </w:r>
            <w:r>
              <w:rPr>
                <w:rFonts w:ascii="Arial" w:eastAsia="Times New Roman" w:hAnsi="Arial" w:cs="Arial"/>
                <w:b/>
                <w:bCs/>
                <w:color w:val="000000"/>
                <w:kern w:val="36"/>
                <w:sz w:val="24"/>
                <w:szCs w:val="24"/>
                <w:lang w:eastAsia="en-GB"/>
                <w14:ligatures w14:val="none"/>
              </w:rPr>
              <w:t xml:space="preserve">: </w:t>
            </w:r>
            <w:r w:rsidRPr="002228FF">
              <w:rPr>
                <w:rFonts w:ascii="Arial" w:eastAsia="Times New Roman" w:hAnsi="Arial" w:cs="Arial"/>
                <w:b/>
                <w:bCs/>
                <w:color w:val="000000"/>
                <w:kern w:val="36"/>
                <w:sz w:val="24"/>
                <w:szCs w:val="24"/>
                <w:lang w:eastAsia="en-GB"/>
                <w14:ligatures w14:val="none"/>
              </w:rPr>
              <w:t xml:space="preserve"> </w:t>
            </w:r>
          </w:p>
          <w:p w14:paraId="51F64735" w14:textId="77777777" w:rsidR="00063023" w:rsidRDefault="00063023" w:rsidP="002228FF">
            <w:pPr>
              <w:spacing w:after="77" w:line="270" w:lineRule="atLeast"/>
              <w:outlineLvl w:val="0"/>
              <w:rPr>
                <w:rFonts w:ascii="Arial" w:eastAsia="Times New Roman" w:hAnsi="Arial" w:cs="Arial"/>
                <w:b/>
                <w:bCs/>
                <w:color w:val="000000"/>
                <w:kern w:val="36"/>
                <w:sz w:val="24"/>
                <w:szCs w:val="24"/>
                <w:lang w:eastAsia="en-GB"/>
                <w14:ligatures w14:val="none"/>
              </w:rPr>
            </w:pPr>
          </w:p>
          <w:p w14:paraId="757A1040" w14:textId="5882DADB" w:rsidR="00063023" w:rsidRDefault="00063023" w:rsidP="002228FF">
            <w:pPr>
              <w:spacing w:after="77" w:line="270" w:lineRule="atLeast"/>
              <w:outlineLvl w:val="0"/>
            </w:pPr>
            <w:r>
              <w:t xml:space="preserve">The placing authority/authorities – this may include commissioning/contracting officers as well as the children’s social </w:t>
            </w:r>
            <w:proofErr w:type="gramStart"/>
            <w:r>
              <w:t>workers</w:t>
            </w:r>
            <w:proofErr w:type="gramEnd"/>
            <w:r>
              <w:t xml:space="preserve"> </w:t>
            </w:r>
          </w:p>
          <w:p w14:paraId="28500CED" w14:textId="01264AD8" w:rsidR="00063023" w:rsidRDefault="00063023" w:rsidP="002228FF">
            <w:pPr>
              <w:spacing w:after="77" w:line="270" w:lineRule="atLeast"/>
              <w:outlineLvl w:val="0"/>
            </w:pPr>
            <w:r>
              <w:t>The responsible authority</w:t>
            </w:r>
          </w:p>
          <w:p w14:paraId="59CAE5F3" w14:textId="0C300372" w:rsidR="00063023" w:rsidRDefault="00063023" w:rsidP="002228FF">
            <w:pPr>
              <w:spacing w:after="77" w:line="270" w:lineRule="atLeast"/>
              <w:outlineLvl w:val="0"/>
            </w:pPr>
            <w:r>
              <w:t xml:space="preserve">The current service </w:t>
            </w:r>
          </w:p>
          <w:p w14:paraId="74173E6D" w14:textId="217EB0BB" w:rsidR="00063023" w:rsidRDefault="00063023" w:rsidP="002228FF">
            <w:pPr>
              <w:spacing w:after="77" w:line="270" w:lineRule="atLeast"/>
              <w:outlineLvl w:val="0"/>
            </w:pPr>
            <w:r>
              <w:t xml:space="preserve">The recruiting </w:t>
            </w:r>
            <w:proofErr w:type="gramStart"/>
            <w:r>
              <w:t>service</w:t>
            </w:r>
            <w:proofErr w:type="gramEnd"/>
          </w:p>
          <w:p w14:paraId="2DB4C94D" w14:textId="57E48034" w:rsidR="00063023" w:rsidRPr="002228FF" w:rsidRDefault="00063023" w:rsidP="002228FF">
            <w:pPr>
              <w:spacing w:after="77" w:line="270" w:lineRule="atLeast"/>
              <w:outlineLvl w:val="0"/>
              <w:rPr>
                <w:rFonts w:ascii="Arial" w:eastAsia="Times New Roman" w:hAnsi="Arial" w:cs="Arial"/>
                <w:b/>
                <w:bCs/>
                <w:color w:val="000000"/>
                <w:kern w:val="36"/>
                <w:sz w:val="24"/>
                <w:szCs w:val="24"/>
                <w:lang w:eastAsia="en-GB"/>
                <w14:ligatures w14:val="none"/>
              </w:rPr>
            </w:pPr>
            <w:r>
              <w:t>The foster carer/s</w:t>
            </w:r>
          </w:p>
        </w:tc>
        <w:tc>
          <w:tcPr>
            <w:tcW w:w="5335" w:type="dxa"/>
          </w:tcPr>
          <w:p w14:paraId="0B9B67EB" w14:textId="77777777" w:rsidR="002228FF" w:rsidRDefault="002228FF" w:rsidP="002228FF">
            <w:pPr>
              <w:spacing w:after="77" w:line="270" w:lineRule="atLeast"/>
              <w:jc w:val="center"/>
              <w:outlineLvl w:val="0"/>
              <w:rPr>
                <w:rFonts w:ascii="Arial" w:eastAsia="Times New Roman" w:hAnsi="Arial" w:cs="Arial"/>
                <w:b/>
                <w:bCs/>
                <w:color w:val="000000"/>
                <w:kern w:val="36"/>
                <w:sz w:val="40"/>
                <w:szCs w:val="40"/>
                <w:lang w:eastAsia="en-GB"/>
                <w14:ligatures w14:val="none"/>
              </w:rPr>
            </w:pPr>
          </w:p>
        </w:tc>
      </w:tr>
    </w:tbl>
    <w:p w14:paraId="2F68D251" w14:textId="77777777" w:rsidR="00063023" w:rsidRDefault="00063023" w:rsidP="002228FF">
      <w:pPr>
        <w:shd w:val="clear" w:color="auto" w:fill="FFFFFF"/>
        <w:spacing w:after="77" w:line="270" w:lineRule="atLeast"/>
        <w:outlineLvl w:val="0"/>
        <w:rPr>
          <w:rFonts w:ascii="Arial" w:eastAsia="Times New Roman" w:hAnsi="Arial" w:cs="Arial"/>
          <w:b/>
          <w:bCs/>
          <w:color w:val="000000"/>
          <w:kern w:val="36"/>
          <w:sz w:val="24"/>
          <w:szCs w:val="24"/>
          <w:lang w:eastAsia="en-GB"/>
          <w14:ligatures w14:val="none"/>
        </w:rPr>
      </w:pPr>
    </w:p>
    <w:p w14:paraId="022AAE7A" w14:textId="4379B6DB" w:rsidR="002228FF" w:rsidRPr="002228FF" w:rsidRDefault="002228FF" w:rsidP="002228FF">
      <w:pPr>
        <w:shd w:val="clear" w:color="auto" w:fill="FFFFFF"/>
        <w:spacing w:after="77" w:line="270" w:lineRule="atLeast"/>
        <w:outlineLvl w:val="0"/>
        <w:rPr>
          <w:rFonts w:ascii="Arial" w:eastAsia="Times New Roman" w:hAnsi="Arial" w:cs="Arial"/>
          <w:b/>
          <w:bCs/>
          <w:color w:val="000000"/>
          <w:kern w:val="36"/>
          <w:sz w:val="24"/>
          <w:szCs w:val="24"/>
          <w:lang w:eastAsia="en-GB"/>
          <w14:ligatures w14:val="none"/>
        </w:rPr>
      </w:pPr>
      <w:r w:rsidRPr="002228FF">
        <w:rPr>
          <w:rFonts w:ascii="Arial" w:eastAsia="Times New Roman" w:hAnsi="Arial" w:cs="Arial"/>
          <w:b/>
          <w:bCs/>
          <w:color w:val="000000"/>
          <w:kern w:val="36"/>
          <w:sz w:val="24"/>
          <w:szCs w:val="24"/>
          <w:lang w:eastAsia="en-GB"/>
          <w14:ligatures w14:val="none"/>
        </w:rPr>
        <w:t xml:space="preserve">Agenda: </w:t>
      </w:r>
    </w:p>
    <w:p w14:paraId="40E76014" w14:textId="77777777" w:rsidR="00063023" w:rsidRDefault="002228FF" w:rsidP="00063023">
      <w:pPr>
        <w:pStyle w:val="ListParagraph"/>
        <w:numPr>
          <w:ilvl w:val="0"/>
          <w:numId w:val="1"/>
        </w:numPr>
      </w:pPr>
      <w:r>
        <w:t>Any decisions made during the child’s latest Case Review, particularly in respect of whether it is in their best interests to continue in their current placement and how their care plan will continue to be followed.</w:t>
      </w:r>
    </w:p>
    <w:p w14:paraId="6DF65CA0" w14:textId="77777777" w:rsidR="00063023" w:rsidRDefault="002228FF" w:rsidP="00063023">
      <w:pPr>
        <w:pStyle w:val="ListParagraph"/>
        <w:numPr>
          <w:ilvl w:val="0"/>
          <w:numId w:val="1"/>
        </w:numPr>
      </w:pPr>
      <w:r>
        <w:t xml:space="preserve">How the move of the foster carer to another service may affect each child in placement, including the potential loss of or changes in the relationships, </w:t>
      </w:r>
      <w:proofErr w:type="gramStart"/>
      <w:r>
        <w:t>activities</w:t>
      </w:r>
      <w:proofErr w:type="gramEnd"/>
      <w:r>
        <w:t xml:space="preserve"> and support services that a child has developed and/or established whilst in placement with the current agency.</w:t>
      </w:r>
    </w:p>
    <w:p w14:paraId="061E1926" w14:textId="77777777" w:rsidR="00063023" w:rsidRDefault="002228FF" w:rsidP="00063023">
      <w:pPr>
        <w:pStyle w:val="ListParagraph"/>
        <w:numPr>
          <w:ilvl w:val="0"/>
          <w:numId w:val="1"/>
        </w:numPr>
      </w:pPr>
      <w:r>
        <w:t xml:space="preserve">The </w:t>
      </w:r>
      <w:proofErr w:type="gramStart"/>
      <w:r>
        <w:t>particular support</w:t>
      </w:r>
      <w:proofErr w:type="gramEnd"/>
      <w:r>
        <w:t xml:space="preserve"> needs of the child and the foster carer and how they will be provided by the new service. </w:t>
      </w:r>
    </w:p>
    <w:p w14:paraId="08DA8DAC" w14:textId="77777777" w:rsidR="00063023" w:rsidRDefault="002228FF" w:rsidP="00063023">
      <w:pPr>
        <w:pStyle w:val="ListParagraph"/>
        <w:numPr>
          <w:ilvl w:val="0"/>
          <w:numId w:val="1"/>
        </w:numPr>
      </w:pPr>
      <w:r>
        <w:t xml:space="preserve">The circumstances in which the recruiting service may use any other placement vacancy once the transfer has been completed. </w:t>
      </w:r>
    </w:p>
    <w:p w14:paraId="4630ACD6" w14:textId="575DF3A5" w:rsidR="00063023" w:rsidRDefault="002228FF" w:rsidP="00063023">
      <w:pPr>
        <w:pStyle w:val="ListParagraph"/>
        <w:numPr>
          <w:ilvl w:val="0"/>
          <w:numId w:val="1"/>
        </w:numPr>
      </w:pPr>
      <w:r>
        <w:t>The arrangements for approval by the recruiting service and termination of the foster carer’s approval by the current service</w:t>
      </w:r>
      <w:r w:rsidR="00063023">
        <w:t xml:space="preserve"> (</w:t>
      </w:r>
      <w:r>
        <w:t>The arrangements should be co-ordinated to ensure continuity of approval, and that transfer is made on a mutually agreed date</w:t>
      </w:r>
      <w:r w:rsidR="00063023">
        <w:t>)</w:t>
      </w:r>
      <w:r>
        <w:t xml:space="preserve">. </w:t>
      </w:r>
    </w:p>
    <w:p w14:paraId="03981BAB" w14:textId="67B05420" w:rsidR="00063023" w:rsidRDefault="002228FF" w:rsidP="00063023">
      <w:pPr>
        <w:pStyle w:val="ListParagraph"/>
        <w:numPr>
          <w:ilvl w:val="0"/>
          <w:numId w:val="1"/>
        </w:numPr>
      </w:pPr>
      <w:r>
        <w:t xml:space="preserve">Parallel arrangements for timing a transfer of responsibility for the payment of fees and allowances to the foster carer. </w:t>
      </w:r>
    </w:p>
    <w:p w14:paraId="6BCF587A" w14:textId="77777777" w:rsidR="00063023" w:rsidRDefault="002228FF" w:rsidP="00063023">
      <w:pPr>
        <w:pStyle w:val="ListParagraph"/>
        <w:numPr>
          <w:ilvl w:val="0"/>
          <w:numId w:val="1"/>
        </w:numPr>
      </w:pPr>
      <w:r>
        <w:t xml:space="preserve">The views of the child, </w:t>
      </w:r>
      <w:proofErr w:type="gramStart"/>
      <w:r>
        <w:t>parent</w:t>
      </w:r>
      <w:proofErr w:type="gramEnd"/>
      <w:r>
        <w:t xml:space="preserve"> and any other interested parties. (These views should be sought and represented by the placing authority). </w:t>
      </w:r>
    </w:p>
    <w:p w14:paraId="2B316941" w14:textId="77777777" w:rsidR="00063023" w:rsidRDefault="002228FF" w:rsidP="00063023">
      <w:pPr>
        <w:pStyle w:val="ListParagraph"/>
        <w:numPr>
          <w:ilvl w:val="0"/>
          <w:numId w:val="1"/>
        </w:numPr>
      </w:pPr>
      <w:r>
        <w:t xml:space="preserve">Where it is determined at a case review that the placement is not to continue, the arrangements to move the child/children to an alternative placement, including a </w:t>
      </w:r>
      <w:proofErr w:type="gramStart"/>
      <w:r>
        <w:t>time-frame</w:t>
      </w:r>
      <w:proofErr w:type="gramEnd"/>
      <w:r>
        <w:t xml:space="preserve"> for such a move will be clearly identified. </w:t>
      </w:r>
    </w:p>
    <w:p w14:paraId="235A3FE0" w14:textId="30AD651E" w:rsidR="002228FF" w:rsidRDefault="002228FF" w:rsidP="00063023">
      <w:pPr>
        <w:pStyle w:val="ListParagraph"/>
        <w:numPr>
          <w:ilvl w:val="0"/>
          <w:numId w:val="1"/>
        </w:numPr>
      </w:pPr>
      <w:r>
        <w:lastRenderedPageBreak/>
        <w:t>A timetable for the approval of the foster carer by the recruiting service</w:t>
      </w:r>
      <w:r w:rsidR="00063023">
        <w:t xml:space="preserve"> (</w:t>
      </w:r>
      <w:r>
        <w:t>The expectations are that assessment and training will take place and that they will be completed within two to four months of the meeting taking place</w:t>
      </w:r>
      <w:r w:rsidR="00063023">
        <w:t>)</w:t>
      </w:r>
      <w:r>
        <w:t xml:space="preserve">. </w:t>
      </w:r>
    </w:p>
    <w:p w14:paraId="166175B2" w14:textId="20A285BE" w:rsidR="00063023" w:rsidRPr="00063023" w:rsidRDefault="00063023" w:rsidP="00063023">
      <w:pPr>
        <w:rPr>
          <w:rFonts w:ascii="Arial" w:hAnsi="Arial" w:cs="Arial"/>
          <w:b/>
          <w:bCs/>
          <w:sz w:val="24"/>
          <w:szCs w:val="24"/>
        </w:rPr>
      </w:pPr>
      <w:r w:rsidRPr="00063023">
        <w:rPr>
          <w:rFonts w:ascii="Arial" w:hAnsi="Arial" w:cs="Arial"/>
          <w:b/>
          <w:bCs/>
          <w:sz w:val="24"/>
          <w:szCs w:val="24"/>
        </w:rPr>
        <w:t>Minutes:</w:t>
      </w:r>
    </w:p>
    <w:p w14:paraId="6DBE79C8" w14:textId="773B889E" w:rsidR="00063023" w:rsidRPr="00063023" w:rsidRDefault="00063023" w:rsidP="00063023">
      <w:pPr>
        <w:rPr>
          <w:rFonts w:ascii="Arial" w:hAnsi="Arial" w:cs="Arial"/>
          <w:b/>
          <w:bCs/>
          <w:sz w:val="24"/>
          <w:szCs w:val="24"/>
        </w:rPr>
      </w:pPr>
      <w:r w:rsidRPr="00063023">
        <w:rPr>
          <w:rFonts w:ascii="Arial" w:hAnsi="Arial" w:cs="Arial"/>
          <w:b/>
          <w:bCs/>
          <w:sz w:val="24"/>
          <w:szCs w:val="24"/>
        </w:rPr>
        <w:t>Actions:</w:t>
      </w:r>
    </w:p>
    <w:sectPr w:rsidR="00063023" w:rsidRPr="00063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5F07"/>
    <w:multiLevelType w:val="hybridMultilevel"/>
    <w:tmpl w:val="9C1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14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FF"/>
    <w:rsid w:val="00063023"/>
    <w:rsid w:val="00115B4B"/>
    <w:rsid w:val="002228FF"/>
    <w:rsid w:val="004E3A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0747"/>
  <w15:chartTrackingRefBased/>
  <w15:docId w15:val="{36C43E95-91D3-4FEE-81BC-CDBFA91A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28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8FF"/>
    <w:rPr>
      <w:rFonts w:ascii="Times New Roman" w:eastAsia="Times New Roman" w:hAnsi="Times New Roman" w:cs="Times New Roman"/>
      <w:b/>
      <w:bCs/>
      <w:kern w:val="36"/>
      <w:sz w:val="48"/>
      <w:szCs w:val="48"/>
      <w:lang w:eastAsia="en-GB"/>
      <w14:ligatures w14:val="none"/>
    </w:rPr>
  </w:style>
  <w:style w:type="table" w:styleId="TableGrid">
    <w:name w:val="Table Grid"/>
    <w:basedOn w:val="TableNormal"/>
    <w:uiPriority w:val="39"/>
    <w:rsid w:val="00222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0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90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Salwa Farid</dc:creator>
  <cp:keywords/>
  <dc:description/>
  <cp:lastModifiedBy>Sarah Belsham</cp:lastModifiedBy>
  <cp:revision>2</cp:revision>
  <dcterms:created xsi:type="dcterms:W3CDTF">2023-10-02T11:11:00Z</dcterms:created>
  <dcterms:modified xsi:type="dcterms:W3CDTF">2023-10-02T11:11:00Z</dcterms:modified>
</cp:coreProperties>
</file>