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A0" w:rsidRDefault="00703CA0" w:rsidP="00703CA0">
      <w:pPr>
        <w:tabs>
          <w:tab w:val="left" w:pos="567"/>
        </w:tabs>
        <w:autoSpaceDE w:val="0"/>
        <w:autoSpaceDN w:val="0"/>
        <w:adjustRightInd w:val="0"/>
        <w:ind w:left="567" w:hanging="567"/>
        <w:jc w:val="center"/>
        <w:rPr>
          <w:rFonts w:ascii="Arial" w:hAnsi="Arial"/>
          <w:b/>
          <w:sz w:val="28"/>
          <w:lang w:eastAsia="en-GB"/>
        </w:rPr>
      </w:pPr>
      <w:r w:rsidRPr="00A03D33">
        <w:rPr>
          <w:rFonts w:ascii="Arial" w:hAnsi="Arial"/>
          <w:b/>
          <w:sz w:val="28"/>
          <w:lang w:eastAsia="en-GB"/>
        </w:rPr>
        <w:t>Children who are at risk of Self-Harm</w:t>
      </w:r>
      <w:r>
        <w:rPr>
          <w:rFonts w:ascii="Arial" w:hAnsi="Arial"/>
          <w:b/>
          <w:sz w:val="28"/>
          <w:lang w:eastAsia="en-GB"/>
        </w:rPr>
        <w:tab/>
      </w:r>
      <w:r>
        <w:rPr>
          <w:rFonts w:ascii="Arial" w:hAnsi="Arial"/>
          <w:b/>
          <w:sz w:val="28"/>
          <w:lang w:eastAsia="en-GB"/>
        </w:rPr>
        <w:t>/Injury</w:t>
      </w:r>
    </w:p>
    <w:p w:rsidR="00703CA0" w:rsidRDefault="00703CA0" w:rsidP="00703CA0">
      <w:pPr>
        <w:tabs>
          <w:tab w:val="left" w:pos="567"/>
        </w:tabs>
        <w:autoSpaceDE w:val="0"/>
        <w:autoSpaceDN w:val="0"/>
        <w:adjustRightInd w:val="0"/>
        <w:ind w:left="567" w:hanging="567"/>
        <w:rPr>
          <w:rFonts w:ascii="Arial" w:hAnsi="Arial"/>
          <w:b/>
          <w:sz w:val="28"/>
          <w:lang w:eastAsia="en-GB"/>
        </w:rPr>
      </w:pPr>
    </w:p>
    <w:p w:rsidR="00703CA0" w:rsidRPr="00A03D33" w:rsidRDefault="00703CA0" w:rsidP="00703CA0">
      <w:pPr>
        <w:tabs>
          <w:tab w:val="left" w:pos="567"/>
        </w:tabs>
        <w:ind w:left="567" w:hanging="567"/>
        <w:rPr>
          <w:rFonts w:ascii="Arial" w:hAnsi="Arial"/>
          <w:sz w:val="22"/>
        </w:rPr>
      </w:pPr>
      <w:r w:rsidRPr="00A03D33">
        <w:rPr>
          <w:rFonts w:ascii="Arial" w:hAnsi="Arial"/>
          <w:sz w:val="22"/>
        </w:rPr>
        <w:t xml:space="preserve">Self-harm is increasingly becoming a recognised problem and all staff need a general </w:t>
      </w:r>
    </w:p>
    <w:p w:rsidR="00703CA0" w:rsidRPr="00A03D33" w:rsidRDefault="00703CA0" w:rsidP="00703CA0">
      <w:pPr>
        <w:tabs>
          <w:tab w:val="left" w:pos="0"/>
        </w:tabs>
        <w:rPr>
          <w:rFonts w:ascii="Arial" w:hAnsi="Arial"/>
          <w:sz w:val="22"/>
        </w:rPr>
      </w:pPr>
      <w:proofErr w:type="gramStart"/>
      <w:r w:rsidRPr="00A03D33">
        <w:rPr>
          <w:rFonts w:ascii="Arial" w:hAnsi="Arial"/>
          <w:sz w:val="22"/>
        </w:rPr>
        <w:t>understanding</w:t>
      </w:r>
      <w:proofErr w:type="gramEnd"/>
      <w:r w:rsidRPr="00A03D33">
        <w:rPr>
          <w:rFonts w:ascii="Arial" w:hAnsi="Arial"/>
          <w:sz w:val="22"/>
        </w:rPr>
        <w:t xml:space="preserve"> of self-harm, signs to look out for and what to do if they become aware a young person is self-harming.  </w:t>
      </w:r>
    </w:p>
    <w:p w:rsidR="00703CA0" w:rsidRPr="00A03D33" w:rsidRDefault="00703CA0" w:rsidP="00703CA0">
      <w:pPr>
        <w:tabs>
          <w:tab w:val="left" w:pos="567"/>
        </w:tabs>
        <w:ind w:left="567" w:hanging="567"/>
        <w:rPr>
          <w:rFonts w:ascii="Arial" w:hAnsi="Arial"/>
          <w:sz w:val="22"/>
        </w:rPr>
      </w:pPr>
    </w:p>
    <w:p w:rsidR="00703CA0" w:rsidRPr="00A03D33" w:rsidRDefault="00703CA0" w:rsidP="00703CA0">
      <w:pPr>
        <w:tabs>
          <w:tab w:val="left" w:pos="0"/>
        </w:tabs>
        <w:rPr>
          <w:rFonts w:ascii="Arial" w:hAnsi="Arial"/>
          <w:sz w:val="22"/>
        </w:rPr>
      </w:pPr>
      <w:r w:rsidRPr="00A03D33">
        <w:rPr>
          <w:rFonts w:ascii="Arial" w:hAnsi="Arial"/>
          <w:sz w:val="22"/>
        </w:rPr>
        <w:t>Self-harm should not be minimised or dismissed as ‘attention seeking’ or ‘just a phase’.  When young people start to harm their bodies, they should be taken seriously.  Self-harm affects people from all family backgrounds, religions, cultures and demographic groups.</w:t>
      </w:r>
    </w:p>
    <w:p w:rsidR="00703CA0" w:rsidRPr="00A03D33" w:rsidRDefault="00703CA0" w:rsidP="00703CA0">
      <w:pPr>
        <w:tabs>
          <w:tab w:val="left" w:pos="0"/>
        </w:tabs>
        <w:rPr>
          <w:rFonts w:ascii="Arial" w:hAnsi="Arial"/>
          <w:sz w:val="22"/>
        </w:rPr>
      </w:pPr>
      <w:r w:rsidRPr="00A03D33">
        <w:rPr>
          <w:rFonts w:ascii="Arial" w:hAnsi="Arial"/>
          <w:sz w:val="22"/>
        </w:rPr>
        <w:t>Self-harm affects both males and females.  Young people who self-harm often keep the problem to themselves for a very long time which means disclosing this to someone could be very difficult.</w:t>
      </w: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sz w:val="22"/>
        </w:rPr>
      </w:pPr>
      <w:r w:rsidRPr="00A03D33">
        <w:rPr>
          <w:rFonts w:ascii="Arial" w:hAnsi="Arial"/>
          <w:sz w:val="22"/>
        </w:rPr>
        <w:t>This Policy outlines how staff should manage incidents of self-harm, gives general advice and guidance to staff.</w:t>
      </w: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sz w:val="22"/>
        </w:rPr>
      </w:pPr>
      <w:r w:rsidRPr="00A03D33">
        <w:rPr>
          <w:rFonts w:ascii="Arial" w:hAnsi="Arial"/>
          <w:sz w:val="22"/>
        </w:rPr>
        <w:t>The health and well-being of the young people in our care is paramount.</w:t>
      </w: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b/>
        </w:rPr>
      </w:pPr>
      <w:r w:rsidRPr="00A03D33">
        <w:rPr>
          <w:rFonts w:ascii="Arial" w:hAnsi="Arial"/>
          <w:b/>
        </w:rPr>
        <w:t>What is Self-Harm?</w:t>
      </w:r>
    </w:p>
    <w:p w:rsidR="00703CA0" w:rsidRPr="00A03D33" w:rsidRDefault="00703CA0" w:rsidP="00703CA0">
      <w:pPr>
        <w:tabs>
          <w:tab w:val="left" w:pos="0"/>
        </w:tabs>
        <w:rPr>
          <w:rFonts w:ascii="Arial" w:hAnsi="Arial"/>
          <w:b/>
          <w:sz w:val="22"/>
        </w:rPr>
      </w:pPr>
    </w:p>
    <w:p w:rsidR="00703CA0" w:rsidRPr="00A03D33" w:rsidRDefault="00703CA0" w:rsidP="00703CA0">
      <w:pPr>
        <w:tabs>
          <w:tab w:val="left" w:pos="0"/>
        </w:tabs>
        <w:rPr>
          <w:rFonts w:ascii="Arial" w:hAnsi="Arial"/>
          <w:sz w:val="22"/>
        </w:rPr>
      </w:pPr>
      <w:r w:rsidRPr="00A03D33">
        <w:rPr>
          <w:rFonts w:ascii="Arial" w:hAnsi="Arial"/>
          <w:sz w:val="22"/>
        </w:rPr>
        <w:t xml:space="preserve">There are many different names and definitions for self-harm, since it covers a wide range of behaviours from self-cutting, burning, picking, bruising, scratching, </w:t>
      </w:r>
      <w:r w:rsidR="00615FC0">
        <w:rPr>
          <w:rFonts w:ascii="Arial" w:hAnsi="Arial"/>
          <w:sz w:val="22"/>
        </w:rPr>
        <w:t>s</w:t>
      </w:r>
      <w:r w:rsidRPr="00A03D33">
        <w:rPr>
          <w:rFonts w:ascii="Arial" w:hAnsi="Arial"/>
          <w:sz w:val="22"/>
        </w:rPr>
        <w:t>wallowing, self-poisoning and self-strangulation to name but a few.  The definition that is most commonly used is;</w:t>
      </w: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sz w:val="22"/>
        </w:rPr>
      </w:pPr>
      <w:r>
        <w:rPr>
          <w:rFonts w:ascii="Arial" w:hAnsi="Arial"/>
          <w:sz w:val="22"/>
        </w:rPr>
        <w:tab/>
      </w:r>
      <w:r w:rsidRPr="00A03D33">
        <w:rPr>
          <w:rFonts w:ascii="Arial" w:hAnsi="Arial"/>
          <w:sz w:val="22"/>
        </w:rPr>
        <w:t>‘</w:t>
      </w:r>
      <w:proofErr w:type="gramStart"/>
      <w:r w:rsidRPr="00A03D33">
        <w:rPr>
          <w:rFonts w:ascii="Arial" w:hAnsi="Arial"/>
          <w:i/>
          <w:sz w:val="22"/>
        </w:rPr>
        <w:t>any</w:t>
      </w:r>
      <w:proofErr w:type="gramEnd"/>
      <w:r w:rsidRPr="00A03D33">
        <w:rPr>
          <w:rFonts w:ascii="Arial" w:hAnsi="Arial"/>
          <w:i/>
          <w:sz w:val="22"/>
        </w:rPr>
        <w:t xml:space="preserve"> act of self-poisoning or self-injury carried out by an individual irrespective of </w:t>
      </w:r>
      <w:r>
        <w:rPr>
          <w:rFonts w:ascii="Arial" w:hAnsi="Arial"/>
          <w:i/>
          <w:sz w:val="22"/>
        </w:rPr>
        <w:tab/>
      </w:r>
      <w:r w:rsidRPr="00A03D33">
        <w:rPr>
          <w:rFonts w:ascii="Arial" w:hAnsi="Arial"/>
          <w:i/>
          <w:sz w:val="22"/>
        </w:rPr>
        <w:t xml:space="preserve">motivation.  This commonly involves self-poisoning with medication or self-injury by </w:t>
      </w:r>
      <w:r>
        <w:rPr>
          <w:rFonts w:ascii="Arial" w:hAnsi="Arial"/>
          <w:i/>
          <w:sz w:val="22"/>
        </w:rPr>
        <w:tab/>
      </w:r>
      <w:r w:rsidRPr="00A03D33">
        <w:rPr>
          <w:rFonts w:ascii="Arial" w:hAnsi="Arial"/>
          <w:i/>
          <w:sz w:val="22"/>
        </w:rPr>
        <w:t>cutting (NICE 2011</w:t>
      </w:r>
      <w:r w:rsidRPr="00A03D33">
        <w:rPr>
          <w:rFonts w:ascii="Arial" w:hAnsi="Arial"/>
          <w:sz w:val="22"/>
        </w:rPr>
        <w:t>).</w:t>
      </w: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b/>
        </w:rPr>
      </w:pPr>
      <w:r w:rsidRPr="00A03D33">
        <w:rPr>
          <w:rFonts w:ascii="Arial" w:hAnsi="Arial"/>
          <w:b/>
        </w:rPr>
        <w:t>What makes young people self-harm?</w:t>
      </w:r>
    </w:p>
    <w:p w:rsidR="00703CA0" w:rsidRPr="00A03D33" w:rsidRDefault="00703CA0" w:rsidP="00703CA0">
      <w:pPr>
        <w:tabs>
          <w:tab w:val="left" w:pos="0"/>
        </w:tabs>
        <w:rPr>
          <w:rFonts w:ascii="Arial" w:hAnsi="Arial"/>
          <w:b/>
        </w:rPr>
      </w:pPr>
    </w:p>
    <w:p w:rsidR="00703CA0" w:rsidRPr="00A03D33" w:rsidRDefault="00703CA0" w:rsidP="00703CA0">
      <w:pPr>
        <w:tabs>
          <w:tab w:val="left" w:pos="0"/>
        </w:tabs>
        <w:rPr>
          <w:rFonts w:ascii="Arial" w:hAnsi="Arial"/>
          <w:sz w:val="22"/>
          <w:szCs w:val="22"/>
        </w:rPr>
      </w:pPr>
      <w:r w:rsidRPr="00A03D33">
        <w:rPr>
          <w:rFonts w:ascii="Arial" w:hAnsi="Arial"/>
          <w:sz w:val="22"/>
          <w:szCs w:val="22"/>
        </w:rPr>
        <w:t>Young people self-harm for a variety of reasons, but what appears to be common themes running through these behaviours is stress and distress.  Often it is difficult</w:t>
      </w:r>
      <w:r w:rsidR="00615FC0">
        <w:rPr>
          <w:rFonts w:ascii="Arial" w:hAnsi="Arial"/>
          <w:sz w:val="22"/>
          <w:szCs w:val="22"/>
        </w:rPr>
        <w:t xml:space="preserve"> </w:t>
      </w:r>
      <w:r w:rsidRPr="00A03D33">
        <w:rPr>
          <w:rFonts w:ascii="Arial" w:hAnsi="Arial"/>
          <w:sz w:val="22"/>
          <w:szCs w:val="22"/>
        </w:rPr>
        <w:t xml:space="preserve">for young people to cope with the demands and pressures of home, school, friends </w:t>
      </w:r>
      <w:r>
        <w:rPr>
          <w:rFonts w:ascii="Arial" w:hAnsi="Arial"/>
          <w:sz w:val="22"/>
          <w:szCs w:val="22"/>
        </w:rPr>
        <w:tab/>
      </w:r>
      <w:r w:rsidRPr="00A03D33">
        <w:rPr>
          <w:rFonts w:ascii="Arial" w:hAnsi="Arial"/>
          <w:sz w:val="22"/>
          <w:szCs w:val="22"/>
        </w:rPr>
        <w:t>and peers.  Sometimes things just get ‘too much’ for young people and they resort to self-harm.</w:t>
      </w:r>
    </w:p>
    <w:p w:rsidR="00703CA0" w:rsidRPr="00A03D33" w:rsidRDefault="00703CA0" w:rsidP="00703CA0">
      <w:pPr>
        <w:tabs>
          <w:tab w:val="left" w:pos="0"/>
        </w:tabs>
        <w:rPr>
          <w:rFonts w:ascii="Arial" w:hAnsi="Arial"/>
          <w:sz w:val="22"/>
          <w:szCs w:val="22"/>
        </w:rPr>
      </w:pPr>
    </w:p>
    <w:p w:rsidR="00703CA0" w:rsidRPr="00A03D33" w:rsidRDefault="00703CA0" w:rsidP="00703CA0">
      <w:pPr>
        <w:tabs>
          <w:tab w:val="left" w:pos="0"/>
        </w:tabs>
        <w:rPr>
          <w:rFonts w:ascii="Arial" w:hAnsi="Arial"/>
          <w:sz w:val="22"/>
          <w:szCs w:val="22"/>
        </w:rPr>
      </w:pPr>
      <w:r w:rsidRPr="00A03D33">
        <w:rPr>
          <w:rFonts w:ascii="Arial" w:hAnsi="Arial"/>
          <w:sz w:val="22"/>
          <w:szCs w:val="22"/>
        </w:rPr>
        <w:t xml:space="preserve">It can be a way of expressing and coping with unbearable emotions and negative thoughts that underlie difficult states of mind.  It can be thought of as ‘an escape’ or ‘a release’ from these feelings and thoughts.  The body acts as something real, concrete and physical, self-harm helps to make mental pain visible, real and easier to </w:t>
      </w:r>
      <w:r>
        <w:rPr>
          <w:rFonts w:ascii="Arial" w:hAnsi="Arial"/>
          <w:sz w:val="22"/>
          <w:szCs w:val="22"/>
        </w:rPr>
        <w:tab/>
      </w:r>
      <w:r w:rsidRPr="00A03D33">
        <w:rPr>
          <w:rFonts w:ascii="Arial" w:hAnsi="Arial"/>
          <w:sz w:val="22"/>
          <w:szCs w:val="22"/>
        </w:rPr>
        <w:t>cope with.</w:t>
      </w: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sz w:val="22"/>
        </w:rPr>
      </w:pPr>
    </w:p>
    <w:p w:rsidR="00703CA0" w:rsidRPr="00A03D33" w:rsidRDefault="00703CA0" w:rsidP="00703CA0">
      <w:pPr>
        <w:tabs>
          <w:tab w:val="left" w:pos="0"/>
        </w:tabs>
        <w:rPr>
          <w:rFonts w:ascii="Arial" w:hAnsi="Arial"/>
        </w:rPr>
      </w:pPr>
      <w:r w:rsidRPr="00A03D33">
        <w:rPr>
          <w:rFonts w:ascii="Arial" w:hAnsi="Arial"/>
          <w:b/>
        </w:rPr>
        <w:t>Guidance</w:t>
      </w:r>
    </w:p>
    <w:p w:rsidR="00703CA0" w:rsidRPr="00A03D33" w:rsidRDefault="00703CA0" w:rsidP="00703CA0">
      <w:pPr>
        <w:tabs>
          <w:tab w:val="left" w:pos="567"/>
        </w:tabs>
        <w:ind w:left="567" w:hanging="567"/>
        <w:rPr>
          <w:rFonts w:ascii="Arial" w:hAnsi="Arial"/>
          <w:b/>
          <w:sz w:val="22"/>
        </w:rPr>
      </w:pPr>
    </w:p>
    <w:p w:rsidR="00703CA0" w:rsidRPr="00A03D33" w:rsidRDefault="00703CA0" w:rsidP="00703CA0">
      <w:pPr>
        <w:tabs>
          <w:tab w:val="left" w:pos="567"/>
        </w:tabs>
        <w:rPr>
          <w:rFonts w:ascii="Arial" w:hAnsi="Arial" w:cs="Bookman Old Style"/>
          <w:bCs/>
          <w:sz w:val="22"/>
        </w:rPr>
      </w:pPr>
      <w:r w:rsidRPr="00A03D33">
        <w:rPr>
          <w:rFonts w:ascii="Arial" w:hAnsi="Arial" w:cs="Bookman Old Style"/>
          <w:bCs/>
          <w:sz w:val="22"/>
        </w:rPr>
        <w:t>This guidance in this policy should be read and adhered to by all staff</w:t>
      </w:r>
      <w:r w:rsidR="00615FC0">
        <w:rPr>
          <w:rFonts w:ascii="Arial" w:hAnsi="Arial" w:cs="Bookman Old Style"/>
          <w:bCs/>
          <w:sz w:val="22"/>
        </w:rPr>
        <w:t xml:space="preserve"> and foster carers</w:t>
      </w:r>
      <w:r w:rsidRPr="00A03D33">
        <w:rPr>
          <w:rFonts w:ascii="Arial" w:hAnsi="Arial" w:cs="Bookman Old Style"/>
          <w:bCs/>
          <w:sz w:val="22"/>
        </w:rPr>
        <w:t>.</w:t>
      </w:r>
    </w:p>
    <w:p w:rsidR="00703CA0" w:rsidRPr="00A03D33" w:rsidRDefault="00703CA0" w:rsidP="00703CA0">
      <w:pPr>
        <w:tabs>
          <w:tab w:val="left" w:pos="567"/>
        </w:tabs>
        <w:rPr>
          <w:rFonts w:ascii="Arial" w:hAnsi="Arial" w:cs="Bookman Old Style"/>
          <w:bCs/>
          <w:sz w:val="22"/>
        </w:rPr>
      </w:pPr>
    </w:p>
    <w:p w:rsidR="00703CA0" w:rsidRPr="00A03D33" w:rsidRDefault="00703CA0" w:rsidP="00703CA0">
      <w:pPr>
        <w:tabs>
          <w:tab w:val="left" w:pos="567"/>
        </w:tabs>
        <w:rPr>
          <w:rFonts w:ascii="Arial" w:hAnsi="Arial" w:cs="Bookman Old Style"/>
          <w:bCs/>
          <w:sz w:val="22"/>
        </w:rPr>
      </w:pPr>
      <w:r w:rsidRPr="00A03D33">
        <w:rPr>
          <w:rFonts w:ascii="Arial" w:hAnsi="Arial" w:cs="Bookman Old Style"/>
          <w:bCs/>
          <w:sz w:val="22"/>
        </w:rPr>
        <w:t>At the beginning of any placement and in particular those placements where children</w:t>
      </w:r>
      <w:r w:rsidR="002E0AAA">
        <w:rPr>
          <w:rFonts w:ascii="Arial" w:hAnsi="Arial" w:cs="Bookman Old Style"/>
          <w:bCs/>
          <w:sz w:val="22"/>
        </w:rPr>
        <w:t xml:space="preserve"> </w:t>
      </w:r>
      <w:r w:rsidRPr="00A03D33">
        <w:rPr>
          <w:rFonts w:ascii="Arial" w:hAnsi="Arial" w:cs="Bookman Old Style"/>
          <w:bCs/>
          <w:sz w:val="22"/>
        </w:rPr>
        <w:t xml:space="preserve">and young people are known to have a history self-harming behaviour it is important that there is an agreed, detailed protocol for identifying, informing and managing such </w:t>
      </w:r>
      <w:r>
        <w:rPr>
          <w:rFonts w:ascii="Arial" w:hAnsi="Arial" w:cs="Bookman Old Style"/>
          <w:bCs/>
          <w:sz w:val="22"/>
        </w:rPr>
        <w:tab/>
      </w:r>
      <w:r w:rsidRPr="00A03D33">
        <w:rPr>
          <w:rFonts w:ascii="Arial" w:hAnsi="Arial" w:cs="Bookman Old Style"/>
          <w:bCs/>
          <w:sz w:val="22"/>
        </w:rPr>
        <w:t xml:space="preserve">situations. This is especially important if any such agreed actions are, in any way, contrary to the following guidance and procedure. A risk assessment should be completed on these occasions. </w:t>
      </w:r>
    </w:p>
    <w:p w:rsidR="00703CA0" w:rsidRPr="00A03D33" w:rsidRDefault="00703CA0" w:rsidP="00703CA0">
      <w:pPr>
        <w:tabs>
          <w:tab w:val="left" w:pos="567"/>
        </w:tabs>
        <w:rPr>
          <w:rFonts w:ascii="Arial" w:hAnsi="Arial" w:cs="Bookman Old Style"/>
          <w:bCs/>
          <w:sz w:val="22"/>
        </w:rPr>
      </w:pPr>
    </w:p>
    <w:p w:rsidR="00703CA0" w:rsidRPr="00A03D33" w:rsidRDefault="00703CA0" w:rsidP="00703CA0">
      <w:pPr>
        <w:tabs>
          <w:tab w:val="left" w:pos="567"/>
        </w:tabs>
        <w:rPr>
          <w:rFonts w:ascii="Arial" w:hAnsi="Arial" w:cs="Bookman Old Style"/>
          <w:bCs/>
          <w:sz w:val="22"/>
        </w:rPr>
      </w:pPr>
    </w:p>
    <w:p w:rsidR="00703CA0" w:rsidRPr="00A03D33" w:rsidRDefault="00703CA0" w:rsidP="00703CA0">
      <w:pPr>
        <w:tabs>
          <w:tab w:val="left" w:pos="567"/>
        </w:tabs>
        <w:rPr>
          <w:rFonts w:ascii="Arial" w:hAnsi="Arial" w:cs="Bookman Old Style"/>
          <w:bCs/>
          <w:sz w:val="22"/>
        </w:rPr>
      </w:pPr>
      <w:r w:rsidRPr="00A03D33">
        <w:rPr>
          <w:rFonts w:ascii="Arial" w:hAnsi="Arial" w:cs="Bookman Old Style"/>
          <w:bCs/>
          <w:sz w:val="22"/>
        </w:rPr>
        <w:lastRenderedPageBreak/>
        <w:t>Children and young people who self-harm invariably place themselves and potentially others at risk; as well as cause a great deal of worry and concern to staff. Children and young people self-harm for a variety of reasons and under many different circumstances, often closely associated to their backgrounds and reasons for entering the care system. It is essential, therefore, that every episode is considered seriously and professionally managed.</w:t>
      </w:r>
    </w:p>
    <w:p w:rsidR="00703CA0" w:rsidRPr="00A03D33" w:rsidRDefault="00703CA0" w:rsidP="00703CA0">
      <w:pPr>
        <w:tabs>
          <w:tab w:val="left" w:pos="567"/>
        </w:tabs>
        <w:rPr>
          <w:rFonts w:ascii="Arial" w:hAnsi="Arial" w:cs="Bookman Old Style"/>
          <w:bCs/>
          <w:sz w:val="22"/>
        </w:rPr>
      </w:pPr>
    </w:p>
    <w:p w:rsidR="00703CA0" w:rsidRPr="00A03D33" w:rsidRDefault="00703CA0" w:rsidP="00703CA0">
      <w:pPr>
        <w:tabs>
          <w:tab w:val="left" w:pos="567"/>
        </w:tabs>
        <w:rPr>
          <w:rFonts w:ascii="Arial" w:hAnsi="Arial" w:cs="Bookman Old Style"/>
          <w:bCs/>
          <w:sz w:val="22"/>
        </w:rPr>
      </w:pPr>
    </w:p>
    <w:p w:rsidR="00703CA0" w:rsidRDefault="00703CA0" w:rsidP="00703CA0">
      <w:pPr>
        <w:tabs>
          <w:tab w:val="left" w:pos="567"/>
        </w:tabs>
        <w:spacing w:before="120"/>
        <w:rPr>
          <w:rFonts w:ascii="Arial" w:hAnsi="Arial" w:cs="Bookman Old Style"/>
          <w:b/>
          <w:bCs/>
        </w:rPr>
      </w:pPr>
      <w:r w:rsidRPr="00A03D33">
        <w:rPr>
          <w:rFonts w:ascii="Arial" w:hAnsi="Arial" w:cs="Bookman Old Style"/>
          <w:b/>
          <w:bCs/>
        </w:rPr>
        <w:t>Signs &amp; Symptoms</w:t>
      </w:r>
    </w:p>
    <w:p w:rsidR="00703CA0" w:rsidRPr="00A03D33" w:rsidRDefault="00703CA0" w:rsidP="00703CA0">
      <w:pPr>
        <w:numPr>
          <w:ilvl w:val="0"/>
          <w:numId w:val="6"/>
        </w:numPr>
        <w:tabs>
          <w:tab w:val="left" w:pos="567"/>
        </w:tabs>
        <w:spacing w:before="120"/>
        <w:rPr>
          <w:rFonts w:ascii="Arial" w:hAnsi="Arial" w:cs="Bookman Old Style"/>
          <w:b/>
          <w:bCs/>
        </w:rPr>
      </w:pPr>
      <w:r w:rsidRPr="00A03D33">
        <w:rPr>
          <w:rFonts w:ascii="Arial" w:hAnsi="Arial" w:cs="Bookman Old Style"/>
          <w:bCs/>
          <w:sz w:val="22"/>
        </w:rPr>
        <w:t>Young people who self-harm often go to great lengths to conceal their injuries so it can be hard to know if a young person does self-harm.</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Some young people will present as depressed, withdrawn or low in mood;</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 xml:space="preserve">You may notice mark, injuries or bruises that are often accompanied by reasons that </w:t>
      </w:r>
      <w:r>
        <w:rPr>
          <w:rFonts w:ascii="Arial" w:hAnsi="Arial" w:cs="Bookman Old Style"/>
          <w:bCs/>
          <w:sz w:val="22"/>
        </w:rPr>
        <w:t>d</w:t>
      </w:r>
      <w:r w:rsidRPr="00A03D33">
        <w:rPr>
          <w:rFonts w:ascii="Arial" w:hAnsi="Arial" w:cs="Bookman Old Style"/>
          <w:bCs/>
          <w:sz w:val="22"/>
        </w:rPr>
        <w:t>o not fit the injury;</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 xml:space="preserve">Can include cutting, scratching, burning, banging and bruising, overdosing(without </w:t>
      </w:r>
      <w:r>
        <w:rPr>
          <w:rFonts w:ascii="Arial" w:hAnsi="Arial" w:cs="Bookman Old Style"/>
          <w:bCs/>
          <w:sz w:val="22"/>
        </w:rPr>
        <w:t>su</w:t>
      </w:r>
      <w:r w:rsidRPr="00A03D33">
        <w:rPr>
          <w:rFonts w:ascii="Arial" w:hAnsi="Arial" w:cs="Bookman Old Style"/>
          <w:bCs/>
          <w:sz w:val="22"/>
        </w:rPr>
        <w:t>icidal intent) and deliberate bone-breaking/spraining;</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Many young people who self-harm will cut their arms and often may wear long sleeves, even when the weather is hot;</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Young people may try and find excuses not to wear clothes that will expose their injuries, such as wearing shorts, swimming costumes etc.</w:t>
      </w:r>
    </w:p>
    <w:p w:rsidR="00703CA0"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Spending long periods of time alone, in their bedroom or in the bathroom; however a young person can sel</w:t>
      </w:r>
      <w:r w:rsidR="002E0AAA">
        <w:rPr>
          <w:rFonts w:ascii="Arial" w:hAnsi="Arial" w:cs="Bookman Old Style"/>
          <w:bCs/>
          <w:sz w:val="22"/>
        </w:rPr>
        <w:t>f-harm at any time in any place</w:t>
      </w:r>
    </w:p>
    <w:p w:rsidR="00703CA0" w:rsidRPr="001600DD" w:rsidRDefault="00703CA0" w:rsidP="002E0AAA">
      <w:pPr>
        <w:spacing w:beforeAutospacing="1" w:after="100" w:afterAutospacing="1" w:line="360" w:lineRule="atLeast"/>
        <w:rPr>
          <w:rFonts w:ascii="Arial" w:hAnsi="Arial" w:cs="Arial"/>
          <w:b/>
          <w:color w:val="242424"/>
          <w:sz w:val="22"/>
          <w:szCs w:val="22"/>
          <w:lang w:val="en-US" w:eastAsia="en-GB"/>
        </w:rPr>
      </w:pPr>
      <w:r w:rsidRPr="001600DD">
        <w:rPr>
          <w:rFonts w:ascii="Arial" w:hAnsi="Arial" w:cs="Arial"/>
          <w:b/>
          <w:color w:val="242424"/>
          <w:sz w:val="22"/>
          <w:szCs w:val="22"/>
          <w:lang w:val="en-US" w:eastAsia="en-GB"/>
        </w:rPr>
        <w:t>Risk of harm through ingestion of Button Batteries</w:t>
      </w:r>
    </w:p>
    <w:p w:rsidR="00703CA0" w:rsidRPr="001600DD" w:rsidRDefault="00703CA0" w:rsidP="00703CA0">
      <w:pPr>
        <w:numPr>
          <w:ilvl w:val="0"/>
          <w:numId w:val="6"/>
        </w:numPr>
        <w:spacing w:beforeAutospacing="1" w:after="100" w:afterAutospacing="1"/>
        <w:rPr>
          <w:rFonts w:ascii="Arial" w:hAnsi="Arial" w:cs="Arial"/>
          <w:color w:val="242424"/>
          <w:sz w:val="22"/>
          <w:szCs w:val="22"/>
          <w:lang w:val="en-US" w:eastAsia="en-GB"/>
        </w:rPr>
      </w:pPr>
      <w:r w:rsidRPr="001600DD">
        <w:rPr>
          <w:rFonts w:ascii="Arial" w:hAnsi="Arial" w:cs="Arial"/>
          <w:color w:val="242424"/>
          <w:sz w:val="22"/>
          <w:szCs w:val="22"/>
          <w:lang w:val="en-US" w:eastAsia="en-GB"/>
        </w:rPr>
        <w:t>When a button battery is swallowed severe tissue damage can result from a buildup of sodium hydroxide (caustic soda) caused by the electrical current discharged from the battery, and not as commonly supposed, from leakage from the battery.</w:t>
      </w:r>
    </w:p>
    <w:p w:rsidR="00703CA0" w:rsidRPr="001600DD" w:rsidRDefault="00703CA0" w:rsidP="00703CA0">
      <w:pPr>
        <w:numPr>
          <w:ilvl w:val="0"/>
          <w:numId w:val="6"/>
        </w:numPr>
        <w:spacing w:before="100" w:beforeAutospacing="1" w:after="100" w:afterAutospacing="1"/>
        <w:rPr>
          <w:rFonts w:ascii="Arial" w:hAnsi="Arial" w:cs="Arial"/>
          <w:color w:val="242424"/>
          <w:sz w:val="22"/>
          <w:szCs w:val="22"/>
          <w:lang w:val="en-US" w:eastAsia="en-GB"/>
        </w:rPr>
      </w:pPr>
      <w:r w:rsidRPr="001600DD">
        <w:rPr>
          <w:rFonts w:ascii="Arial" w:hAnsi="Arial" w:cs="Arial"/>
          <w:color w:val="242424"/>
          <w:sz w:val="22"/>
          <w:szCs w:val="22"/>
          <w:lang w:val="en-US" w:eastAsia="en-GB"/>
        </w:rPr>
        <w:t xml:space="preserve">The sodium hydroxide causes tissue burns, often in the </w:t>
      </w:r>
      <w:proofErr w:type="spellStart"/>
      <w:r w:rsidRPr="001600DD">
        <w:rPr>
          <w:rFonts w:ascii="Arial" w:hAnsi="Arial" w:cs="Arial"/>
          <w:color w:val="242424"/>
          <w:sz w:val="22"/>
          <w:szCs w:val="22"/>
          <w:lang w:val="en-US" w:eastAsia="en-GB"/>
        </w:rPr>
        <w:t>oesophagus</w:t>
      </w:r>
      <w:proofErr w:type="spellEnd"/>
      <w:r w:rsidRPr="001600DD">
        <w:rPr>
          <w:rFonts w:ascii="Arial" w:hAnsi="Arial" w:cs="Arial"/>
          <w:color w:val="242424"/>
          <w:sz w:val="22"/>
          <w:szCs w:val="22"/>
          <w:lang w:val="en-US" w:eastAsia="en-GB"/>
        </w:rPr>
        <w:t xml:space="preserve"> (food pipe), which can then cause damage to major blood vessels, resulting in catastrophic </w:t>
      </w:r>
      <w:proofErr w:type="spellStart"/>
      <w:r w:rsidRPr="001600DD">
        <w:rPr>
          <w:rFonts w:ascii="Arial" w:hAnsi="Arial" w:cs="Arial"/>
          <w:color w:val="242424"/>
          <w:sz w:val="22"/>
          <w:szCs w:val="22"/>
          <w:lang w:val="en-US" w:eastAsia="en-GB"/>
        </w:rPr>
        <w:t>haemorrhage</w:t>
      </w:r>
      <w:proofErr w:type="spellEnd"/>
      <w:r w:rsidRPr="001600DD">
        <w:rPr>
          <w:rFonts w:ascii="Arial" w:hAnsi="Arial" w:cs="Arial"/>
          <w:color w:val="242424"/>
          <w:sz w:val="22"/>
          <w:szCs w:val="22"/>
          <w:lang w:val="en-US" w:eastAsia="en-GB"/>
        </w:rPr>
        <w:t>.</w:t>
      </w:r>
    </w:p>
    <w:p w:rsidR="00703CA0" w:rsidRPr="001600DD" w:rsidRDefault="00703CA0" w:rsidP="00703CA0">
      <w:pPr>
        <w:numPr>
          <w:ilvl w:val="0"/>
          <w:numId w:val="6"/>
        </w:numPr>
        <w:spacing w:before="100" w:beforeAutospacing="1" w:after="100" w:afterAutospacing="1"/>
        <w:rPr>
          <w:rFonts w:ascii="Arial" w:hAnsi="Arial" w:cs="Arial"/>
          <w:color w:val="242424"/>
          <w:sz w:val="22"/>
          <w:szCs w:val="22"/>
          <w:lang w:val="en-US" w:eastAsia="en-GB"/>
        </w:rPr>
      </w:pPr>
      <w:r w:rsidRPr="001600DD">
        <w:rPr>
          <w:rFonts w:ascii="Arial" w:hAnsi="Arial" w:cs="Arial"/>
          <w:color w:val="242424"/>
          <w:sz w:val="22"/>
          <w:szCs w:val="22"/>
          <w:lang w:val="en-US" w:eastAsia="en-GB"/>
        </w:rPr>
        <w:t>A review of incident reports by the NHS over a four year period identified five cases where severe tissue damage occurred after apparent delays in suspecting, diagnosing or treating button battery ingestion in small children; sadly in one case this resulted in death.</w:t>
      </w:r>
    </w:p>
    <w:p w:rsidR="00703CA0" w:rsidRPr="001600DD" w:rsidRDefault="00703CA0" w:rsidP="00703CA0">
      <w:pPr>
        <w:numPr>
          <w:ilvl w:val="0"/>
          <w:numId w:val="6"/>
        </w:numPr>
        <w:spacing w:before="100" w:beforeAutospacing="1" w:after="100" w:afterAutospacing="1"/>
        <w:rPr>
          <w:rFonts w:ascii="Arial" w:hAnsi="Arial" w:cs="Arial"/>
          <w:color w:val="242424"/>
          <w:sz w:val="22"/>
          <w:szCs w:val="22"/>
          <w:lang w:val="en-US" w:eastAsia="en-GB"/>
        </w:rPr>
      </w:pPr>
      <w:r w:rsidRPr="001600DD">
        <w:rPr>
          <w:rFonts w:ascii="Arial" w:hAnsi="Arial" w:cs="Arial"/>
          <w:color w:val="242424"/>
          <w:sz w:val="22"/>
          <w:szCs w:val="22"/>
          <w:lang w:val="en-US" w:eastAsia="en-GB"/>
        </w:rPr>
        <w:t>The risk affects all age groups, although most cases involve children under the age of six who mistake the battery for a sweet. There is also evidence that some children and young adults may also ingest batteries as a means of self-harming.</w:t>
      </w:r>
    </w:p>
    <w:p w:rsidR="00703CA0" w:rsidRPr="001600DD" w:rsidRDefault="00703CA0" w:rsidP="00703CA0">
      <w:pPr>
        <w:numPr>
          <w:ilvl w:val="0"/>
          <w:numId w:val="6"/>
        </w:numPr>
        <w:spacing w:before="100" w:beforeAutospacing="1" w:after="100" w:afterAutospacing="1"/>
        <w:rPr>
          <w:rFonts w:ascii="Arial" w:hAnsi="Arial" w:cs="Arial"/>
          <w:color w:val="242424"/>
          <w:sz w:val="22"/>
          <w:szCs w:val="22"/>
          <w:lang w:val="en-US" w:eastAsia="en-GB"/>
        </w:rPr>
      </w:pPr>
      <w:r w:rsidRPr="001600DD">
        <w:rPr>
          <w:rFonts w:ascii="Arial" w:hAnsi="Arial" w:cs="Arial"/>
          <w:b/>
          <w:color w:val="242424"/>
          <w:sz w:val="22"/>
          <w:szCs w:val="22"/>
          <w:lang w:val="en-US" w:eastAsia="en-GB"/>
        </w:rPr>
        <w:t>The swallowing of button batteries needs to be treated as a medical emergency</w:t>
      </w:r>
      <w:r w:rsidRPr="001600DD">
        <w:rPr>
          <w:rFonts w:ascii="Arial" w:hAnsi="Arial" w:cs="Arial"/>
          <w:color w:val="242424"/>
          <w:sz w:val="22"/>
          <w:szCs w:val="22"/>
          <w:lang w:val="en-US" w:eastAsia="en-GB"/>
        </w:rPr>
        <w:t>. Removal of the battery alone may be insufficient action to prevent further damage as symptoms can manifest up to 28 days later. The patient would need expert input, and careful monitoring and follow-up by medical professionals.</w:t>
      </w:r>
    </w:p>
    <w:p w:rsidR="00703CA0" w:rsidRPr="00A03D33" w:rsidRDefault="00703CA0" w:rsidP="00703CA0">
      <w:pPr>
        <w:tabs>
          <w:tab w:val="left" w:pos="567"/>
        </w:tabs>
        <w:spacing w:before="120"/>
        <w:rPr>
          <w:rFonts w:ascii="Arial" w:hAnsi="Arial" w:cs="Bookman Old Style"/>
          <w:b/>
          <w:bCs/>
        </w:rPr>
      </w:pPr>
      <w:r w:rsidRPr="00A03D33">
        <w:rPr>
          <w:rFonts w:ascii="Arial" w:hAnsi="Arial" w:cs="Bookman Old Style"/>
          <w:b/>
          <w:bCs/>
        </w:rPr>
        <w:t>Risks Factors associated with self-harm?</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Mental health disorders including depression and eating disorders;</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Drug/alcohol abuse and other risk taking behaviours;</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Recent trauma;</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lastRenderedPageBreak/>
        <w:t>Negative thought patterns and low self-esteem;</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Bullying;</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Abuse – sexual, neglect, physical, emotional;</w:t>
      </w:r>
    </w:p>
    <w:p w:rsidR="00703CA0" w:rsidRPr="00A03D33" w:rsidRDefault="00703CA0" w:rsidP="00703CA0">
      <w:pPr>
        <w:numPr>
          <w:ilvl w:val="0"/>
          <w:numId w:val="6"/>
        </w:numPr>
        <w:tabs>
          <w:tab w:val="left" w:pos="567"/>
        </w:tabs>
        <w:spacing w:before="120"/>
        <w:rPr>
          <w:rFonts w:ascii="Arial" w:hAnsi="Arial" w:cs="Bookman Old Style"/>
          <w:bCs/>
          <w:sz w:val="22"/>
        </w:rPr>
      </w:pPr>
      <w:r w:rsidRPr="00A03D33">
        <w:rPr>
          <w:rFonts w:ascii="Arial" w:hAnsi="Arial" w:cs="Bookman Old Style"/>
          <w:bCs/>
          <w:sz w:val="22"/>
        </w:rPr>
        <w:t>Sudden changes in behaviour and mood.</w:t>
      </w:r>
    </w:p>
    <w:p w:rsidR="00703CA0" w:rsidRPr="00A03D33" w:rsidRDefault="00703CA0" w:rsidP="00703CA0">
      <w:pPr>
        <w:tabs>
          <w:tab w:val="left" w:pos="567"/>
        </w:tabs>
        <w:spacing w:before="120"/>
        <w:rPr>
          <w:rFonts w:ascii="Arial" w:hAnsi="Arial" w:cs="Bookman Old Style"/>
          <w:bCs/>
          <w:sz w:val="22"/>
        </w:rPr>
      </w:pPr>
    </w:p>
    <w:p w:rsidR="00703CA0" w:rsidRPr="00A03D33" w:rsidRDefault="00703CA0" w:rsidP="00703CA0">
      <w:pPr>
        <w:tabs>
          <w:tab w:val="left" w:pos="567"/>
          <w:tab w:val="left" w:pos="1410"/>
        </w:tabs>
        <w:spacing w:before="120"/>
        <w:rPr>
          <w:rFonts w:ascii="Arial" w:hAnsi="Arial" w:cs="Bookman Old Style"/>
          <w:b/>
          <w:bCs/>
        </w:rPr>
      </w:pPr>
      <w:r w:rsidRPr="00A03D33">
        <w:rPr>
          <w:rFonts w:ascii="Arial" w:hAnsi="Arial" w:cs="Bookman Old Style"/>
          <w:b/>
          <w:bCs/>
        </w:rPr>
        <w:t>Suicide</w:t>
      </w:r>
      <w:r w:rsidRPr="00A03D33">
        <w:rPr>
          <w:rFonts w:ascii="Arial" w:hAnsi="Arial" w:cs="Bookman Old Style"/>
          <w:b/>
          <w:bCs/>
        </w:rPr>
        <w:tab/>
      </w:r>
    </w:p>
    <w:p w:rsidR="00703CA0" w:rsidRPr="00A03D33" w:rsidRDefault="00703CA0" w:rsidP="00703CA0">
      <w:p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 xml:space="preserve">While self-harm and suicide are separate, those who self-harm are in emotional </w:t>
      </w:r>
      <w:r>
        <w:rPr>
          <w:rFonts w:ascii="Arial" w:hAnsi="Arial" w:cs="Bookman Old Style"/>
          <w:bCs/>
          <w:sz w:val="22"/>
          <w:szCs w:val="22"/>
        </w:rPr>
        <w:tab/>
      </w:r>
      <w:r w:rsidRPr="00A03D33">
        <w:rPr>
          <w:rFonts w:ascii="Arial" w:hAnsi="Arial" w:cs="Bookman Old Style"/>
          <w:bCs/>
          <w:sz w:val="22"/>
          <w:szCs w:val="22"/>
        </w:rPr>
        <w:t xml:space="preserve">distress and those who end their </w:t>
      </w:r>
      <w:r w:rsidRPr="00A03D33">
        <w:rPr>
          <w:rFonts w:ascii="Arial" w:hAnsi="Arial" w:cs="Arial"/>
          <w:bCs/>
          <w:sz w:val="22"/>
          <w:szCs w:val="22"/>
        </w:rPr>
        <w:t>lives</w:t>
      </w:r>
      <w:r w:rsidRPr="00A03D33">
        <w:rPr>
          <w:rFonts w:ascii="Arial" w:hAnsi="Arial" w:cs="Bookman Old Style"/>
          <w:bCs/>
          <w:sz w:val="22"/>
          <w:szCs w:val="22"/>
        </w:rPr>
        <w:t xml:space="preserve"> are also in emotional distress.  It is vital that all emotional distress is taken seriously to minimise the chances of self-harm and suicide.  All talk of suicide and warning signs must be taken very seriously by staff.</w:t>
      </w:r>
    </w:p>
    <w:p w:rsidR="00703CA0" w:rsidRPr="00A03D33" w:rsidRDefault="00703CA0" w:rsidP="00703CA0">
      <w:pPr>
        <w:tabs>
          <w:tab w:val="left" w:pos="567"/>
          <w:tab w:val="left" w:pos="1410"/>
        </w:tabs>
        <w:spacing w:before="120"/>
        <w:rPr>
          <w:rFonts w:ascii="Arial" w:hAnsi="Arial" w:cs="Bookman Old Style"/>
          <w:bCs/>
          <w:sz w:val="22"/>
          <w:szCs w:val="22"/>
        </w:rPr>
      </w:pPr>
    </w:p>
    <w:p w:rsidR="00703CA0" w:rsidRPr="00A03D33" w:rsidRDefault="00703CA0" w:rsidP="00703CA0">
      <w:pPr>
        <w:tabs>
          <w:tab w:val="left" w:pos="567"/>
          <w:tab w:val="left" w:pos="1410"/>
        </w:tabs>
        <w:spacing w:before="120"/>
        <w:rPr>
          <w:rFonts w:ascii="Arial" w:hAnsi="Arial" w:cs="Bookman Old Style"/>
          <w:b/>
          <w:bCs/>
        </w:rPr>
      </w:pPr>
      <w:r w:rsidRPr="00A03D33">
        <w:rPr>
          <w:rFonts w:ascii="Arial" w:hAnsi="Arial" w:cs="Bookman Old Style"/>
          <w:b/>
          <w:bCs/>
        </w:rPr>
        <w:t>Coping Strategies</w:t>
      </w:r>
    </w:p>
    <w:p w:rsidR="00703CA0" w:rsidRPr="00A03D33" w:rsidRDefault="00703CA0" w:rsidP="00703CA0">
      <w:p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Here are some alternative strategies to self-harm that may be helpful to think about and discuss with the young person who you are concerned about:</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Hold an ice-cube in your hand;</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Draw on your skin with a red marker pen;</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Place a flake of chili on your tongue</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Put an elastic band around your wrist and flick it</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Play with a stress ball or make one</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 xml:space="preserve">Keep busy </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Distract yourself by counting it down until its gone</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Tear up paper or pop bubble wrap</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Have a ‘crisis box’ with all the things you love in it</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Listen to music that lifts your mood</w:t>
      </w:r>
    </w:p>
    <w:p w:rsidR="00703CA0" w:rsidRPr="00A03D33" w:rsidRDefault="00703CA0" w:rsidP="00703CA0">
      <w:pPr>
        <w:numPr>
          <w:ilvl w:val="0"/>
          <w:numId w:val="5"/>
        </w:numPr>
        <w:tabs>
          <w:tab w:val="left" w:pos="567"/>
          <w:tab w:val="left" w:pos="1410"/>
        </w:tabs>
        <w:spacing w:before="120"/>
        <w:rPr>
          <w:rFonts w:ascii="Arial" w:hAnsi="Arial" w:cs="Bookman Old Style"/>
          <w:bCs/>
          <w:sz w:val="22"/>
          <w:szCs w:val="22"/>
        </w:rPr>
      </w:pPr>
      <w:r w:rsidRPr="00A03D33">
        <w:rPr>
          <w:rFonts w:ascii="Arial" w:hAnsi="Arial" w:cs="Bookman Old Style"/>
          <w:bCs/>
          <w:sz w:val="22"/>
          <w:szCs w:val="22"/>
        </w:rPr>
        <w:t>Draw something on your wrist, such as a butterfly – keep it alive by not cutting</w:t>
      </w:r>
    </w:p>
    <w:p w:rsidR="00703CA0" w:rsidRPr="00A03D33" w:rsidRDefault="00703CA0" w:rsidP="00703CA0">
      <w:pPr>
        <w:tabs>
          <w:tab w:val="left" w:pos="567"/>
          <w:tab w:val="left" w:pos="1410"/>
        </w:tabs>
        <w:spacing w:before="120"/>
        <w:rPr>
          <w:rFonts w:ascii="Arial" w:hAnsi="Arial" w:cs="Bookman Old Style"/>
          <w:bCs/>
          <w:sz w:val="22"/>
          <w:szCs w:val="22"/>
        </w:rPr>
      </w:pPr>
    </w:p>
    <w:p w:rsidR="00703CA0" w:rsidRPr="00A03D33" w:rsidRDefault="00703CA0" w:rsidP="00703CA0">
      <w:pPr>
        <w:rPr>
          <w:rFonts w:ascii="Arial" w:hAnsi="Arial" w:cs="Arial"/>
          <w:sz w:val="22"/>
          <w:szCs w:val="22"/>
        </w:rPr>
      </w:pPr>
    </w:p>
    <w:p w:rsidR="00703CA0" w:rsidRDefault="000872F8" w:rsidP="00703CA0">
      <w:pPr>
        <w:rPr>
          <w:rFonts w:ascii="Arial" w:hAnsi="Arial" w:cs="Arial"/>
          <w:b/>
        </w:rPr>
      </w:pPr>
      <w:r>
        <w:rPr>
          <w:rFonts w:ascii="Arial" w:hAnsi="Arial" w:cs="Arial"/>
          <w:b/>
        </w:rPr>
        <w:t>All Foster Carers and staff</w:t>
      </w:r>
      <w:r w:rsidR="00703CA0" w:rsidRPr="00A03D33">
        <w:rPr>
          <w:rFonts w:ascii="Arial" w:hAnsi="Arial" w:cs="Arial"/>
          <w:b/>
        </w:rPr>
        <w:t xml:space="preserve"> are expected to:</w:t>
      </w:r>
    </w:p>
    <w:p w:rsidR="00703CA0" w:rsidRPr="00A03D33" w:rsidRDefault="00703CA0" w:rsidP="00703CA0">
      <w:pPr>
        <w:rPr>
          <w:rFonts w:ascii="Arial" w:hAnsi="Arial" w:cs="Arial"/>
          <w:b/>
        </w:rPr>
      </w:pP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 xml:space="preserve">Ensure that, if necessary, appropriate medical attention </w:t>
      </w:r>
      <w:r>
        <w:rPr>
          <w:rFonts w:ascii="Arial" w:hAnsi="Arial" w:cs="Arial"/>
          <w:sz w:val="22"/>
          <w:szCs w:val="22"/>
        </w:rPr>
        <w:t xml:space="preserve">is sought after any incident of </w:t>
      </w:r>
      <w:r w:rsidRPr="00A03D33">
        <w:rPr>
          <w:rFonts w:ascii="Arial" w:hAnsi="Arial" w:cs="Arial"/>
          <w:sz w:val="22"/>
          <w:szCs w:val="22"/>
        </w:rPr>
        <w:t>self-harm;</w:t>
      </w: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Remove any items/objects that the young person may have used or could use to self-</w:t>
      </w:r>
      <w:r>
        <w:rPr>
          <w:rFonts w:ascii="Arial" w:hAnsi="Arial" w:cs="Arial"/>
          <w:sz w:val="22"/>
          <w:szCs w:val="22"/>
        </w:rPr>
        <w:t>h</w:t>
      </w:r>
      <w:r w:rsidRPr="00A03D33">
        <w:rPr>
          <w:rFonts w:ascii="Arial" w:hAnsi="Arial" w:cs="Arial"/>
          <w:sz w:val="22"/>
          <w:szCs w:val="22"/>
        </w:rPr>
        <w:t xml:space="preserve">arm;  </w:t>
      </w: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Listen to young people in emotional distress and in a non-judgemental way and be gently curious if you notice cuts or injuries to the young person.</w:t>
      </w:r>
    </w:p>
    <w:p w:rsidR="00703CA0" w:rsidRPr="00A03D33" w:rsidRDefault="00703CA0" w:rsidP="000872F8">
      <w:pPr>
        <w:numPr>
          <w:ilvl w:val="0"/>
          <w:numId w:val="7"/>
        </w:numPr>
        <w:ind w:left="567" w:hanging="207"/>
        <w:rPr>
          <w:rFonts w:ascii="Arial" w:hAnsi="Arial" w:cs="Arial"/>
          <w:sz w:val="22"/>
          <w:szCs w:val="22"/>
        </w:rPr>
      </w:pPr>
      <w:r w:rsidRPr="00A03D33">
        <w:rPr>
          <w:rFonts w:ascii="Arial" w:hAnsi="Arial" w:cs="Arial"/>
          <w:sz w:val="22"/>
          <w:szCs w:val="22"/>
        </w:rPr>
        <w:t>Take their self-harm seriously;</w:t>
      </w:r>
    </w:p>
    <w:p w:rsidR="00703CA0" w:rsidRPr="00A03D33" w:rsidRDefault="00703CA0" w:rsidP="000872F8">
      <w:pPr>
        <w:numPr>
          <w:ilvl w:val="0"/>
          <w:numId w:val="7"/>
        </w:numPr>
        <w:ind w:left="567" w:hanging="207"/>
        <w:rPr>
          <w:rFonts w:ascii="Arial" w:hAnsi="Arial" w:cs="Arial"/>
          <w:sz w:val="22"/>
          <w:szCs w:val="22"/>
        </w:rPr>
      </w:pPr>
      <w:r w:rsidRPr="00A03D33">
        <w:rPr>
          <w:rFonts w:ascii="Arial" w:hAnsi="Arial" w:cs="Arial"/>
          <w:sz w:val="22"/>
          <w:szCs w:val="22"/>
        </w:rPr>
        <w:t>Stay calm, sensitive and thoughtful;</w:t>
      </w: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 xml:space="preserve">Report </w:t>
      </w:r>
      <w:r w:rsidR="000872F8">
        <w:rPr>
          <w:rFonts w:ascii="Arial" w:hAnsi="Arial" w:cs="Arial"/>
          <w:sz w:val="22"/>
          <w:szCs w:val="22"/>
        </w:rPr>
        <w:t xml:space="preserve">self-harm to the Supervising Social Worker and </w:t>
      </w:r>
      <w:r w:rsidRPr="00A03D33">
        <w:rPr>
          <w:rFonts w:ascii="Arial" w:hAnsi="Arial" w:cs="Arial"/>
          <w:sz w:val="22"/>
          <w:szCs w:val="22"/>
        </w:rPr>
        <w:t xml:space="preserve">the Designated </w:t>
      </w:r>
      <w:r w:rsidR="000872F8">
        <w:rPr>
          <w:rFonts w:ascii="Arial" w:hAnsi="Arial" w:cs="Arial"/>
          <w:sz w:val="22"/>
          <w:szCs w:val="22"/>
        </w:rPr>
        <w:t>Safeguarding Lead</w:t>
      </w:r>
      <w:r w:rsidRPr="00A03D33">
        <w:rPr>
          <w:rFonts w:ascii="Arial" w:hAnsi="Arial" w:cs="Arial"/>
          <w:sz w:val="22"/>
          <w:szCs w:val="22"/>
        </w:rPr>
        <w:t xml:space="preserve"> and be clear of the timescales in which this is expected;</w:t>
      </w: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 xml:space="preserve">Do not make promises about keeping information confidential.  Reassure the young people that in order to seek health and happiness, staff and professionals need to </w:t>
      </w:r>
      <w:r>
        <w:rPr>
          <w:rFonts w:ascii="Arial" w:hAnsi="Arial" w:cs="Arial"/>
          <w:sz w:val="22"/>
          <w:szCs w:val="22"/>
        </w:rPr>
        <w:t>k</w:t>
      </w:r>
      <w:r w:rsidRPr="00A03D33">
        <w:rPr>
          <w:rFonts w:ascii="Arial" w:hAnsi="Arial" w:cs="Arial"/>
          <w:sz w:val="22"/>
          <w:szCs w:val="22"/>
        </w:rPr>
        <w:t>now about their problems so that they can be helped;</w:t>
      </w:r>
    </w:p>
    <w:p w:rsidR="00703CA0" w:rsidRPr="00A03D33" w:rsidRDefault="00703CA0" w:rsidP="00703CA0">
      <w:pPr>
        <w:numPr>
          <w:ilvl w:val="0"/>
          <w:numId w:val="7"/>
        </w:numPr>
        <w:ind w:left="567"/>
        <w:rPr>
          <w:rFonts w:ascii="Arial" w:hAnsi="Arial" w:cs="Arial"/>
          <w:sz w:val="22"/>
          <w:szCs w:val="22"/>
        </w:rPr>
      </w:pPr>
      <w:r w:rsidRPr="00A03D33">
        <w:rPr>
          <w:rFonts w:ascii="Arial" w:hAnsi="Arial" w:cs="Arial"/>
          <w:sz w:val="22"/>
          <w:szCs w:val="22"/>
        </w:rPr>
        <w:lastRenderedPageBreak/>
        <w:t>Promote problem-solving techniques and non-harm</w:t>
      </w:r>
      <w:r>
        <w:rPr>
          <w:rFonts w:ascii="Arial" w:hAnsi="Arial" w:cs="Arial"/>
          <w:sz w:val="22"/>
          <w:szCs w:val="22"/>
        </w:rPr>
        <w:t xml:space="preserve">ful ways to deal with emotional </w:t>
      </w:r>
      <w:r w:rsidRPr="00A03D33">
        <w:rPr>
          <w:rFonts w:ascii="Arial" w:hAnsi="Arial" w:cs="Arial"/>
          <w:sz w:val="22"/>
          <w:szCs w:val="22"/>
        </w:rPr>
        <w:t>distress</w:t>
      </w: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Widen their knowledge, where appropriate to do so, about self-harm and mental health disorders;</w:t>
      </w:r>
    </w:p>
    <w:p w:rsidR="00703CA0" w:rsidRPr="00A03D33" w:rsidRDefault="00703CA0" w:rsidP="00703CA0">
      <w:pPr>
        <w:numPr>
          <w:ilvl w:val="0"/>
          <w:numId w:val="7"/>
        </w:numPr>
        <w:ind w:left="567" w:hanging="207"/>
        <w:rPr>
          <w:rFonts w:ascii="Arial" w:hAnsi="Arial" w:cs="Arial"/>
          <w:sz w:val="22"/>
          <w:szCs w:val="22"/>
        </w:rPr>
      </w:pPr>
      <w:r w:rsidRPr="00A03D33">
        <w:rPr>
          <w:rFonts w:ascii="Arial" w:hAnsi="Arial" w:cs="Arial"/>
          <w:sz w:val="22"/>
          <w:szCs w:val="22"/>
        </w:rPr>
        <w:t>Be aware of health &amp; safety issues such as first-aid a</w:t>
      </w:r>
      <w:r>
        <w:rPr>
          <w:rFonts w:ascii="Arial" w:hAnsi="Arial" w:cs="Arial"/>
          <w:sz w:val="22"/>
          <w:szCs w:val="22"/>
        </w:rPr>
        <w:t xml:space="preserve">nd clearing up if the self-harm </w:t>
      </w:r>
      <w:r w:rsidRPr="00A03D33">
        <w:rPr>
          <w:rFonts w:ascii="Arial" w:hAnsi="Arial" w:cs="Arial"/>
          <w:sz w:val="22"/>
          <w:szCs w:val="22"/>
        </w:rPr>
        <w:t>incident takes place in the home or on a visit outside of the home;</w:t>
      </w:r>
    </w:p>
    <w:p w:rsidR="00703CA0" w:rsidRPr="00EB1DF9" w:rsidRDefault="00703CA0" w:rsidP="00413817">
      <w:pPr>
        <w:numPr>
          <w:ilvl w:val="0"/>
          <w:numId w:val="7"/>
        </w:numPr>
        <w:ind w:left="567" w:hanging="207"/>
        <w:rPr>
          <w:rFonts w:ascii="Arial" w:hAnsi="Arial" w:cs="Arial"/>
          <w:sz w:val="22"/>
          <w:szCs w:val="22"/>
        </w:rPr>
      </w:pPr>
      <w:r w:rsidRPr="00EB1DF9">
        <w:rPr>
          <w:rFonts w:ascii="Arial" w:hAnsi="Arial" w:cs="Arial"/>
          <w:sz w:val="22"/>
          <w:szCs w:val="22"/>
        </w:rPr>
        <w:t xml:space="preserve">Keep records of self-injury incidents and concerns.  </w:t>
      </w:r>
    </w:p>
    <w:p w:rsidR="00703CA0" w:rsidRPr="00A03D33" w:rsidRDefault="00703CA0" w:rsidP="00413817">
      <w:pPr>
        <w:numPr>
          <w:ilvl w:val="0"/>
          <w:numId w:val="7"/>
        </w:numPr>
        <w:ind w:left="567" w:hanging="207"/>
        <w:rPr>
          <w:rFonts w:ascii="Arial" w:hAnsi="Arial" w:cs="Arial"/>
          <w:sz w:val="22"/>
          <w:szCs w:val="22"/>
        </w:rPr>
      </w:pPr>
      <w:r w:rsidRPr="00A03D33">
        <w:rPr>
          <w:rFonts w:ascii="Arial" w:hAnsi="Arial" w:cs="Arial"/>
          <w:sz w:val="22"/>
          <w:szCs w:val="22"/>
        </w:rPr>
        <w:t>Liaise with local services about help available for young people who self-harm;</w:t>
      </w:r>
    </w:p>
    <w:p w:rsidR="00703CA0" w:rsidRPr="00A03D33" w:rsidRDefault="00703CA0" w:rsidP="00413817">
      <w:pPr>
        <w:numPr>
          <w:ilvl w:val="0"/>
          <w:numId w:val="7"/>
        </w:numPr>
        <w:ind w:left="567" w:hanging="207"/>
        <w:rPr>
          <w:rFonts w:ascii="Arial" w:hAnsi="Arial" w:cs="Arial"/>
          <w:sz w:val="22"/>
          <w:szCs w:val="22"/>
        </w:rPr>
      </w:pPr>
      <w:r w:rsidRPr="00A03D33">
        <w:rPr>
          <w:rFonts w:ascii="Arial" w:hAnsi="Arial" w:cs="Arial"/>
          <w:sz w:val="22"/>
          <w:szCs w:val="22"/>
        </w:rPr>
        <w:t>Contact the young person’s social worker and inform them of any incident;</w:t>
      </w:r>
    </w:p>
    <w:p w:rsidR="00703CA0" w:rsidRDefault="00703CA0" w:rsidP="00413817">
      <w:pPr>
        <w:numPr>
          <w:ilvl w:val="0"/>
          <w:numId w:val="7"/>
        </w:numPr>
        <w:ind w:left="567" w:hanging="207"/>
        <w:rPr>
          <w:rFonts w:ascii="Arial" w:hAnsi="Arial" w:cs="Arial"/>
          <w:sz w:val="22"/>
          <w:szCs w:val="22"/>
        </w:rPr>
      </w:pPr>
      <w:r w:rsidRPr="00A03D33">
        <w:rPr>
          <w:rFonts w:ascii="Arial" w:hAnsi="Arial" w:cs="Arial"/>
          <w:sz w:val="22"/>
          <w:szCs w:val="22"/>
        </w:rPr>
        <w:t>Know how to seek help to deal with your own feelings and distress.</w:t>
      </w:r>
    </w:p>
    <w:p w:rsidR="00703CA0" w:rsidRDefault="00703CA0" w:rsidP="00703CA0">
      <w:pPr>
        <w:rPr>
          <w:rFonts w:ascii="Arial" w:hAnsi="Arial" w:cs="Arial"/>
          <w:sz w:val="22"/>
          <w:szCs w:val="22"/>
        </w:rPr>
      </w:pPr>
    </w:p>
    <w:p w:rsidR="00703CA0" w:rsidRDefault="00703CA0" w:rsidP="00703CA0">
      <w:pPr>
        <w:rPr>
          <w:rFonts w:ascii="Arial" w:hAnsi="Arial" w:cs="Arial"/>
          <w:sz w:val="22"/>
          <w:szCs w:val="22"/>
        </w:rPr>
      </w:pPr>
    </w:p>
    <w:p w:rsidR="00703CA0" w:rsidRDefault="00703CA0" w:rsidP="00703CA0">
      <w:pPr>
        <w:rPr>
          <w:rFonts w:ascii="Arial" w:hAnsi="Arial" w:cs="Arial"/>
          <w:sz w:val="22"/>
          <w:szCs w:val="22"/>
        </w:rPr>
      </w:pPr>
    </w:p>
    <w:p w:rsidR="00703CA0" w:rsidRPr="00A03D33" w:rsidRDefault="00703CA0" w:rsidP="00703CA0">
      <w:pPr>
        <w:rPr>
          <w:rFonts w:ascii="Arial" w:hAnsi="Arial" w:cs="Arial"/>
          <w:sz w:val="22"/>
          <w:szCs w:val="22"/>
        </w:rPr>
      </w:pPr>
    </w:p>
    <w:p w:rsidR="00703CA0" w:rsidRPr="00A03D33" w:rsidRDefault="00703CA0" w:rsidP="00703CA0">
      <w:pPr>
        <w:rPr>
          <w:rFonts w:ascii="Arial" w:hAnsi="Arial" w:cs="Arial"/>
          <w:sz w:val="22"/>
          <w:szCs w:val="22"/>
        </w:rPr>
      </w:pPr>
    </w:p>
    <w:p w:rsidR="00703CA0" w:rsidRPr="00A03D33" w:rsidRDefault="00703CA0" w:rsidP="00703CA0">
      <w:pPr>
        <w:rPr>
          <w:rFonts w:ascii="Arial" w:hAnsi="Arial" w:cs="Arial"/>
          <w:sz w:val="22"/>
          <w:szCs w:val="22"/>
        </w:rPr>
      </w:pPr>
    </w:p>
    <w:p w:rsidR="00703CA0" w:rsidRPr="00A03D33" w:rsidRDefault="00703CA0" w:rsidP="00703CA0">
      <w:pPr>
        <w:rPr>
          <w:rFonts w:ascii="Arial" w:hAnsi="Arial" w:cs="Arial"/>
          <w:sz w:val="22"/>
          <w:szCs w:val="22"/>
        </w:rPr>
      </w:pPr>
      <w:bookmarkStart w:id="0" w:name="_GoBack"/>
      <w:bookmarkEnd w:id="0"/>
    </w:p>
    <w:p w:rsidR="00703CA0" w:rsidRPr="00A03D33" w:rsidRDefault="00703CA0" w:rsidP="00703CA0">
      <w:pPr>
        <w:rPr>
          <w:rFonts w:ascii="Arial" w:hAnsi="Arial" w:cs="Arial"/>
          <w:sz w:val="22"/>
          <w:szCs w:val="22"/>
        </w:rPr>
      </w:pPr>
    </w:p>
    <w:p w:rsidR="00703CA0" w:rsidRPr="00A03D33" w:rsidRDefault="00703CA0" w:rsidP="00703CA0">
      <w:pPr>
        <w:rPr>
          <w:rFonts w:ascii="Arial" w:hAnsi="Arial" w:cs="Arial"/>
          <w:sz w:val="22"/>
          <w:szCs w:val="22"/>
        </w:rPr>
      </w:pPr>
    </w:p>
    <w:p w:rsidR="00703CA0" w:rsidRPr="00A03D33" w:rsidRDefault="00703CA0" w:rsidP="00703CA0"/>
    <w:p w:rsidR="00703CA0" w:rsidRPr="00A03D33" w:rsidRDefault="00703CA0" w:rsidP="00703CA0"/>
    <w:p w:rsidR="00703CA0" w:rsidRPr="00A03D33"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 w:rsidR="00703CA0" w:rsidRDefault="00703CA0" w:rsidP="00703CA0">
      <w:pPr>
        <w:tabs>
          <w:tab w:val="left" w:pos="567"/>
        </w:tabs>
        <w:autoSpaceDE w:val="0"/>
        <w:autoSpaceDN w:val="0"/>
        <w:adjustRightInd w:val="0"/>
        <w:ind w:left="567" w:hanging="567"/>
        <w:rPr>
          <w:rFonts w:ascii="Arial" w:hAnsi="Arial"/>
          <w:b/>
          <w:sz w:val="28"/>
          <w:lang w:eastAsia="en-GB"/>
        </w:rPr>
      </w:pPr>
    </w:p>
    <w:p w:rsidR="00A95604" w:rsidRPr="00703CA0" w:rsidRDefault="00A95604" w:rsidP="00703CA0"/>
    <w:sectPr w:rsidR="00A95604" w:rsidRPr="00703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079B"/>
    <w:multiLevelType w:val="multilevel"/>
    <w:tmpl w:val="0F02034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220266"/>
    <w:multiLevelType w:val="hybridMultilevel"/>
    <w:tmpl w:val="5186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FF1705"/>
    <w:multiLevelType w:val="hybridMultilevel"/>
    <w:tmpl w:val="9FD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334A15"/>
    <w:multiLevelType w:val="hybridMultilevel"/>
    <w:tmpl w:val="070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BA6AF1"/>
    <w:multiLevelType w:val="multilevel"/>
    <w:tmpl w:val="9EF82A32"/>
    <w:lvl w:ilvl="0">
      <w:start w:val="9"/>
      <w:numFmt w:val="decimal"/>
      <w:lvlText w:val="%1."/>
      <w:lvlJc w:val="left"/>
      <w:pPr>
        <w:tabs>
          <w:tab w:val="num" w:pos="570"/>
        </w:tabs>
        <w:ind w:left="570" w:hanging="570"/>
      </w:pPr>
      <w:rPr>
        <w:rFonts w:cs="Times New Roman"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55210BB6"/>
    <w:multiLevelType w:val="multilevel"/>
    <w:tmpl w:val="D20817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D472F87"/>
    <w:multiLevelType w:val="hybridMultilevel"/>
    <w:tmpl w:val="0EEC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745D79"/>
    <w:multiLevelType w:val="hybridMultilevel"/>
    <w:tmpl w:val="192E69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76090F13"/>
    <w:multiLevelType w:val="hybridMultilevel"/>
    <w:tmpl w:val="146E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6"/>
  </w:num>
  <w:num w:numId="6">
    <w:abstractNumId w:val="7"/>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66"/>
    <w:rsid w:val="000872F8"/>
    <w:rsid w:val="000C0A5A"/>
    <w:rsid w:val="00294866"/>
    <w:rsid w:val="002E0AAA"/>
    <w:rsid w:val="00413817"/>
    <w:rsid w:val="00446B0F"/>
    <w:rsid w:val="005A3CB1"/>
    <w:rsid w:val="00615FC0"/>
    <w:rsid w:val="00703CA0"/>
    <w:rsid w:val="00764E66"/>
    <w:rsid w:val="007F0DD4"/>
    <w:rsid w:val="008E7BF7"/>
    <w:rsid w:val="009A6004"/>
    <w:rsid w:val="00A95604"/>
    <w:rsid w:val="00E65E85"/>
    <w:rsid w:val="00EE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2</cp:revision>
  <dcterms:created xsi:type="dcterms:W3CDTF">2019-12-04T16:12:00Z</dcterms:created>
  <dcterms:modified xsi:type="dcterms:W3CDTF">2019-12-04T16:12:00Z</dcterms:modified>
</cp:coreProperties>
</file>