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51"/>
      </w:tblGrid>
      <w:tr w:rsidR="00687C6F" w:rsidRPr="00185436" w14:paraId="6EE2B876" w14:textId="77777777" w:rsidTr="00264A3C">
        <w:tc>
          <w:tcPr>
            <w:tcW w:w="9242" w:type="dxa"/>
            <w:gridSpan w:val="2"/>
          </w:tcPr>
          <w:p w14:paraId="6EE2B85E" w14:textId="77777777" w:rsidR="00687C6F" w:rsidRPr="00185436" w:rsidRDefault="00687C6F" w:rsidP="00264A3C">
            <w:pPr>
              <w:spacing w:line="360" w:lineRule="auto"/>
              <w:jc w:val="center"/>
              <w:rPr>
                <w:rFonts w:ascii="Calibri" w:hAnsi="Calibri"/>
                <w:b/>
                <w:sz w:val="28"/>
                <w:szCs w:val="28"/>
              </w:rPr>
            </w:pPr>
          </w:p>
          <w:p w14:paraId="6EE2B85F" w14:textId="77777777" w:rsidR="00F336C3" w:rsidRDefault="00F336C3" w:rsidP="00264A3C">
            <w:pPr>
              <w:spacing w:line="360" w:lineRule="auto"/>
              <w:jc w:val="center"/>
              <w:rPr>
                <w:rFonts w:ascii="Calibri" w:hAnsi="Calibri"/>
                <w:b/>
                <w:sz w:val="28"/>
                <w:szCs w:val="28"/>
              </w:rPr>
            </w:pPr>
          </w:p>
          <w:p w14:paraId="6EE2B860" w14:textId="77777777" w:rsidR="00F336C3" w:rsidRDefault="00F336C3" w:rsidP="00264A3C">
            <w:pPr>
              <w:spacing w:line="360" w:lineRule="auto"/>
              <w:jc w:val="center"/>
              <w:rPr>
                <w:rFonts w:ascii="Calibri" w:hAnsi="Calibri"/>
                <w:b/>
                <w:sz w:val="28"/>
                <w:szCs w:val="28"/>
              </w:rPr>
            </w:pPr>
          </w:p>
          <w:p w14:paraId="6EE2B861" w14:textId="77777777" w:rsidR="00F336C3" w:rsidRDefault="00F336C3" w:rsidP="00264A3C">
            <w:pPr>
              <w:spacing w:line="360" w:lineRule="auto"/>
              <w:jc w:val="center"/>
              <w:rPr>
                <w:rFonts w:ascii="Calibri" w:hAnsi="Calibri"/>
                <w:b/>
                <w:sz w:val="28"/>
                <w:szCs w:val="28"/>
              </w:rPr>
            </w:pPr>
          </w:p>
          <w:p w14:paraId="6EE2B862" w14:textId="77777777" w:rsidR="00F336C3" w:rsidRDefault="00F336C3" w:rsidP="00264A3C">
            <w:pPr>
              <w:spacing w:line="360" w:lineRule="auto"/>
              <w:jc w:val="center"/>
              <w:rPr>
                <w:rFonts w:ascii="Calibri" w:hAnsi="Calibri"/>
                <w:b/>
                <w:sz w:val="28"/>
                <w:szCs w:val="28"/>
              </w:rPr>
            </w:pPr>
          </w:p>
          <w:p w14:paraId="6EE2B863" w14:textId="77777777" w:rsidR="00F336C3" w:rsidRDefault="00F336C3" w:rsidP="00264A3C">
            <w:pPr>
              <w:spacing w:line="360" w:lineRule="auto"/>
              <w:jc w:val="center"/>
              <w:rPr>
                <w:rFonts w:ascii="Calibri" w:hAnsi="Calibri"/>
                <w:b/>
                <w:sz w:val="28"/>
                <w:szCs w:val="28"/>
              </w:rPr>
            </w:pPr>
            <w:r>
              <w:rPr>
                <w:rFonts w:ascii="Calibri" w:hAnsi="Calibri"/>
                <w:b/>
                <w:noProof/>
                <w:sz w:val="28"/>
                <w:szCs w:val="28"/>
                <w:lang w:eastAsia="en-GB"/>
              </w:rPr>
              <w:drawing>
                <wp:inline distT="0" distB="0" distL="0" distR="0" wp14:anchorId="6EE2B8FE" wp14:editId="6EE2B8FF">
                  <wp:extent cx="2857500" cy="1438275"/>
                  <wp:effectExtent l="0" t="0" r="0" b="9525"/>
                  <wp:docPr id="2" name="Picture 2" descr="C:\Users\Jonathan001\Pictures\thOJWS1S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001\Pictures\thOJWS1S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14:paraId="6EE2B864" w14:textId="77777777" w:rsidR="00F336C3" w:rsidRDefault="00F336C3" w:rsidP="00264A3C">
            <w:pPr>
              <w:spacing w:line="360" w:lineRule="auto"/>
              <w:jc w:val="center"/>
              <w:rPr>
                <w:rFonts w:ascii="Calibri" w:hAnsi="Calibri"/>
                <w:b/>
                <w:sz w:val="28"/>
                <w:szCs w:val="28"/>
              </w:rPr>
            </w:pPr>
          </w:p>
          <w:p w14:paraId="6EE2B865" w14:textId="77777777" w:rsidR="00F336C3" w:rsidRDefault="00F336C3" w:rsidP="00264A3C">
            <w:pPr>
              <w:spacing w:line="360" w:lineRule="auto"/>
              <w:jc w:val="center"/>
              <w:rPr>
                <w:rFonts w:ascii="Calibri" w:hAnsi="Calibri"/>
                <w:b/>
                <w:sz w:val="28"/>
                <w:szCs w:val="28"/>
              </w:rPr>
            </w:pPr>
          </w:p>
          <w:p w14:paraId="6EE2B866" w14:textId="77777777" w:rsidR="00F336C3" w:rsidRDefault="00FD0B93" w:rsidP="00F336C3">
            <w:pPr>
              <w:spacing w:line="360" w:lineRule="auto"/>
              <w:jc w:val="center"/>
              <w:rPr>
                <w:rFonts w:ascii="Calibri" w:hAnsi="Calibri"/>
                <w:b/>
                <w:sz w:val="28"/>
                <w:szCs w:val="28"/>
              </w:rPr>
            </w:pPr>
            <w:r>
              <w:rPr>
                <w:rFonts w:ascii="Calibri" w:hAnsi="Calibri"/>
                <w:b/>
                <w:sz w:val="28"/>
                <w:szCs w:val="28"/>
              </w:rPr>
              <w:t xml:space="preserve">Placement Sufficiency Strategy Board </w:t>
            </w:r>
          </w:p>
          <w:p w14:paraId="6EE2B867" w14:textId="77777777" w:rsidR="00F336C3" w:rsidRPr="00185436" w:rsidRDefault="00F336C3" w:rsidP="00F336C3">
            <w:pPr>
              <w:spacing w:line="360" w:lineRule="auto"/>
              <w:jc w:val="center"/>
              <w:rPr>
                <w:rFonts w:ascii="Calibri" w:hAnsi="Calibri"/>
                <w:b/>
                <w:sz w:val="28"/>
                <w:szCs w:val="28"/>
              </w:rPr>
            </w:pPr>
          </w:p>
          <w:p w14:paraId="6EE2B868" w14:textId="77777777" w:rsidR="00F336C3" w:rsidRPr="00185436" w:rsidRDefault="00F336C3" w:rsidP="00F336C3">
            <w:pPr>
              <w:spacing w:line="360" w:lineRule="auto"/>
              <w:jc w:val="center"/>
              <w:rPr>
                <w:rFonts w:ascii="Calibri" w:hAnsi="Calibri"/>
                <w:b/>
                <w:sz w:val="28"/>
                <w:szCs w:val="28"/>
                <w:u w:val="single"/>
              </w:rPr>
            </w:pPr>
            <w:r w:rsidRPr="00185436">
              <w:rPr>
                <w:rFonts w:ascii="Calibri" w:hAnsi="Calibri"/>
                <w:b/>
                <w:sz w:val="28"/>
                <w:szCs w:val="28"/>
                <w:u w:val="single"/>
              </w:rPr>
              <w:t>Terms of Reference</w:t>
            </w:r>
          </w:p>
          <w:p w14:paraId="6EE2B869" w14:textId="77777777" w:rsidR="00F336C3" w:rsidRDefault="00F336C3" w:rsidP="00264A3C">
            <w:pPr>
              <w:spacing w:line="360" w:lineRule="auto"/>
              <w:jc w:val="center"/>
              <w:rPr>
                <w:rFonts w:ascii="Calibri" w:hAnsi="Calibri"/>
                <w:b/>
                <w:sz w:val="28"/>
                <w:szCs w:val="28"/>
              </w:rPr>
            </w:pPr>
          </w:p>
          <w:p w14:paraId="6EE2B86A" w14:textId="77777777" w:rsidR="00F336C3" w:rsidRDefault="002C3F95" w:rsidP="00264A3C">
            <w:pPr>
              <w:spacing w:line="360" w:lineRule="auto"/>
              <w:jc w:val="center"/>
              <w:rPr>
                <w:rFonts w:ascii="Calibri" w:hAnsi="Calibri"/>
                <w:b/>
                <w:sz w:val="28"/>
                <w:szCs w:val="28"/>
              </w:rPr>
            </w:pPr>
            <w:r>
              <w:rPr>
                <w:rFonts w:ascii="Calibri" w:hAnsi="Calibri"/>
                <w:b/>
                <w:sz w:val="28"/>
                <w:szCs w:val="28"/>
              </w:rPr>
              <w:t>January 2020</w:t>
            </w:r>
          </w:p>
          <w:p w14:paraId="6EE2B86B" w14:textId="77777777" w:rsidR="002C3F95" w:rsidRPr="00815A01" w:rsidRDefault="002C3F95" w:rsidP="002C3F95">
            <w:pPr>
              <w:spacing w:line="360" w:lineRule="auto"/>
              <w:jc w:val="center"/>
              <w:rPr>
                <w:rFonts w:ascii="Calibri" w:hAnsi="Calibri"/>
                <w:b/>
                <w:sz w:val="16"/>
                <w:szCs w:val="16"/>
              </w:rPr>
            </w:pPr>
            <w:r>
              <w:rPr>
                <w:rFonts w:ascii="Calibri" w:hAnsi="Calibri"/>
                <w:b/>
                <w:sz w:val="16"/>
                <w:szCs w:val="16"/>
              </w:rPr>
              <w:t xml:space="preserve">Amended following the </w:t>
            </w:r>
            <w:r w:rsidRPr="00815A01">
              <w:rPr>
                <w:rFonts w:ascii="Calibri" w:hAnsi="Calibri"/>
                <w:b/>
                <w:sz w:val="16"/>
                <w:szCs w:val="16"/>
              </w:rPr>
              <w:t>People – Commissioning of residential Placements and Fostering – 2018/19</w:t>
            </w:r>
          </w:p>
          <w:p w14:paraId="6EE2B86C" w14:textId="77777777" w:rsidR="002C3F95" w:rsidRDefault="002C3F95" w:rsidP="002C3F95">
            <w:pPr>
              <w:spacing w:line="360" w:lineRule="auto"/>
              <w:jc w:val="center"/>
              <w:rPr>
                <w:rFonts w:ascii="Calibri" w:hAnsi="Calibri"/>
                <w:b/>
                <w:sz w:val="28"/>
                <w:szCs w:val="28"/>
              </w:rPr>
            </w:pPr>
            <w:r w:rsidRPr="00815A01">
              <w:rPr>
                <w:rFonts w:ascii="Calibri" w:hAnsi="Calibri"/>
                <w:b/>
                <w:sz w:val="16"/>
                <w:szCs w:val="16"/>
              </w:rPr>
              <w:t>Internal Audit Report</w:t>
            </w:r>
          </w:p>
          <w:p w14:paraId="6EE2B86D" w14:textId="2EA45043" w:rsidR="00F336C3" w:rsidRDefault="005C597B" w:rsidP="00264A3C">
            <w:pPr>
              <w:spacing w:line="360" w:lineRule="auto"/>
              <w:jc w:val="center"/>
              <w:rPr>
                <w:rFonts w:ascii="Calibri" w:hAnsi="Calibri"/>
                <w:b/>
                <w:sz w:val="28"/>
                <w:szCs w:val="28"/>
              </w:rPr>
            </w:pPr>
            <w:r>
              <w:rPr>
                <w:rFonts w:ascii="Calibri" w:hAnsi="Calibri"/>
                <w:b/>
                <w:sz w:val="28"/>
                <w:szCs w:val="28"/>
              </w:rPr>
              <w:t>Reviewed January 2022</w:t>
            </w:r>
          </w:p>
          <w:p w14:paraId="70A7F2FA" w14:textId="78566143" w:rsidR="005C597B" w:rsidRDefault="005C597B" w:rsidP="00264A3C">
            <w:pPr>
              <w:spacing w:line="360" w:lineRule="auto"/>
              <w:jc w:val="center"/>
              <w:rPr>
                <w:rFonts w:ascii="Calibri" w:hAnsi="Calibri"/>
                <w:b/>
                <w:sz w:val="28"/>
                <w:szCs w:val="28"/>
              </w:rPr>
            </w:pPr>
            <w:r>
              <w:rPr>
                <w:rFonts w:ascii="Calibri" w:hAnsi="Calibri"/>
                <w:b/>
                <w:sz w:val="28"/>
                <w:szCs w:val="28"/>
              </w:rPr>
              <w:t>Next Review January 2023</w:t>
            </w:r>
          </w:p>
          <w:p w14:paraId="6EE2B86E" w14:textId="77777777" w:rsidR="00F336C3" w:rsidRDefault="00F336C3" w:rsidP="00264A3C">
            <w:pPr>
              <w:spacing w:line="360" w:lineRule="auto"/>
              <w:jc w:val="center"/>
              <w:rPr>
                <w:rFonts w:ascii="Calibri" w:hAnsi="Calibri"/>
                <w:b/>
                <w:sz w:val="28"/>
                <w:szCs w:val="28"/>
              </w:rPr>
            </w:pPr>
          </w:p>
          <w:p w14:paraId="6EE2B86F" w14:textId="77777777" w:rsidR="00F336C3" w:rsidRDefault="00F336C3" w:rsidP="00264A3C">
            <w:pPr>
              <w:spacing w:line="360" w:lineRule="auto"/>
              <w:jc w:val="center"/>
              <w:rPr>
                <w:rFonts w:ascii="Calibri" w:hAnsi="Calibri"/>
                <w:b/>
                <w:sz w:val="28"/>
                <w:szCs w:val="28"/>
              </w:rPr>
            </w:pPr>
          </w:p>
          <w:p w14:paraId="6EE2B870" w14:textId="77777777" w:rsidR="00F336C3" w:rsidRDefault="00F336C3" w:rsidP="00264A3C">
            <w:pPr>
              <w:spacing w:line="360" w:lineRule="auto"/>
              <w:jc w:val="center"/>
              <w:rPr>
                <w:rFonts w:ascii="Calibri" w:hAnsi="Calibri"/>
                <w:b/>
                <w:sz w:val="28"/>
                <w:szCs w:val="28"/>
              </w:rPr>
            </w:pPr>
            <w:r>
              <w:rPr>
                <w:rFonts w:ascii="Calibri" w:hAnsi="Calibri"/>
                <w:b/>
                <w:sz w:val="28"/>
                <w:szCs w:val="28"/>
              </w:rPr>
              <w:t xml:space="preserve"> </w:t>
            </w:r>
          </w:p>
          <w:p w14:paraId="6EE2B871" w14:textId="77777777" w:rsidR="00F336C3" w:rsidRDefault="00F336C3" w:rsidP="00264A3C">
            <w:pPr>
              <w:spacing w:line="360" w:lineRule="auto"/>
              <w:jc w:val="center"/>
              <w:rPr>
                <w:rFonts w:ascii="Calibri" w:hAnsi="Calibri"/>
                <w:b/>
                <w:sz w:val="28"/>
                <w:szCs w:val="28"/>
              </w:rPr>
            </w:pPr>
          </w:p>
          <w:p w14:paraId="6EE2B872" w14:textId="77777777" w:rsidR="00F336C3" w:rsidRDefault="00F336C3" w:rsidP="00264A3C">
            <w:pPr>
              <w:spacing w:line="360" w:lineRule="auto"/>
              <w:jc w:val="center"/>
              <w:rPr>
                <w:rFonts w:ascii="Calibri" w:hAnsi="Calibri"/>
                <w:b/>
                <w:sz w:val="28"/>
                <w:szCs w:val="28"/>
              </w:rPr>
            </w:pPr>
          </w:p>
          <w:p w14:paraId="6EE2B873" w14:textId="77777777" w:rsidR="00685C14" w:rsidRDefault="00685C14" w:rsidP="00264A3C">
            <w:pPr>
              <w:spacing w:line="360" w:lineRule="auto"/>
              <w:jc w:val="center"/>
              <w:rPr>
                <w:rFonts w:ascii="Calibri" w:hAnsi="Calibri"/>
                <w:b/>
                <w:sz w:val="28"/>
                <w:szCs w:val="28"/>
              </w:rPr>
            </w:pPr>
          </w:p>
          <w:p w14:paraId="6EE2B874" w14:textId="77777777" w:rsidR="00F336C3" w:rsidRDefault="00F336C3" w:rsidP="00264A3C">
            <w:pPr>
              <w:spacing w:line="360" w:lineRule="auto"/>
              <w:jc w:val="center"/>
              <w:rPr>
                <w:rFonts w:ascii="Calibri" w:hAnsi="Calibri"/>
                <w:b/>
                <w:sz w:val="28"/>
                <w:szCs w:val="28"/>
              </w:rPr>
            </w:pPr>
          </w:p>
          <w:p w14:paraId="6EE2B875" w14:textId="77777777" w:rsidR="00687C6F" w:rsidRPr="00185436" w:rsidRDefault="00687C6F" w:rsidP="00FD0B93">
            <w:pPr>
              <w:spacing w:line="360" w:lineRule="auto"/>
              <w:jc w:val="center"/>
              <w:rPr>
                <w:rFonts w:ascii="Calibri" w:eastAsia="Times New Roman" w:hAnsi="Calibri" w:cs="Tahoma"/>
                <w:b/>
                <w:color w:val="000000"/>
                <w:sz w:val="24"/>
                <w:szCs w:val="24"/>
              </w:rPr>
            </w:pPr>
          </w:p>
        </w:tc>
      </w:tr>
      <w:tr w:rsidR="00687C6F" w:rsidRPr="00185436" w14:paraId="6EE2B879" w14:textId="77777777" w:rsidTr="00264A3C">
        <w:tc>
          <w:tcPr>
            <w:tcW w:w="675" w:type="dxa"/>
          </w:tcPr>
          <w:p w14:paraId="6EE2B877" w14:textId="77777777" w:rsidR="00687C6F" w:rsidRPr="00185436" w:rsidRDefault="00687C6F" w:rsidP="00264A3C">
            <w:pPr>
              <w:spacing w:line="360" w:lineRule="auto"/>
              <w:rPr>
                <w:rFonts w:ascii="Calibri" w:hAnsi="Calibri"/>
              </w:rPr>
            </w:pPr>
          </w:p>
        </w:tc>
        <w:tc>
          <w:tcPr>
            <w:tcW w:w="8567" w:type="dxa"/>
          </w:tcPr>
          <w:p w14:paraId="6EE2B878" w14:textId="77777777" w:rsidR="00687C6F" w:rsidRPr="00185436" w:rsidRDefault="00687C6F" w:rsidP="00264A3C">
            <w:pPr>
              <w:spacing w:line="360" w:lineRule="auto"/>
              <w:rPr>
                <w:rFonts w:ascii="Calibri" w:eastAsia="Times New Roman" w:hAnsi="Calibri" w:cs="Tahoma"/>
                <w:b/>
                <w:color w:val="000000"/>
                <w:sz w:val="24"/>
                <w:szCs w:val="24"/>
              </w:rPr>
            </w:pPr>
          </w:p>
        </w:tc>
      </w:tr>
      <w:tr w:rsidR="00687C6F" w:rsidRPr="00185436" w14:paraId="6EE2B87C" w14:textId="77777777" w:rsidTr="00264A3C">
        <w:tc>
          <w:tcPr>
            <w:tcW w:w="675" w:type="dxa"/>
            <w:tcBorders>
              <w:right w:val="single" w:sz="4" w:space="0" w:color="auto"/>
            </w:tcBorders>
          </w:tcPr>
          <w:p w14:paraId="6EE2B87A" w14:textId="77777777" w:rsidR="00687C6F" w:rsidRPr="00185436" w:rsidRDefault="00687C6F" w:rsidP="00264A3C">
            <w:pPr>
              <w:spacing w:line="360" w:lineRule="auto"/>
              <w:rPr>
                <w:rFonts w:ascii="Calibri" w:hAnsi="Calibri"/>
                <w:b/>
                <w:sz w:val="24"/>
                <w:szCs w:val="24"/>
              </w:rPr>
            </w:pPr>
            <w:r w:rsidRPr="00185436">
              <w:rPr>
                <w:rFonts w:ascii="Calibri" w:hAnsi="Calibri"/>
                <w:b/>
                <w:sz w:val="24"/>
                <w:szCs w:val="24"/>
              </w:rPr>
              <w:t>1</w:t>
            </w:r>
          </w:p>
        </w:tc>
        <w:tc>
          <w:tcPr>
            <w:tcW w:w="8567" w:type="dxa"/>
            <w:tcBorders>
              <w:left w:val="single" w:sz="4" w:space="0" w:color="auto"/>
            </w:tcBorders>
          </w:tcPr>
          <w:p w14:paraId="6EE2B87B" w14:textId="77777777" w:rsidR="00687C6F" w:rsidRPr="00185436" w:rsidRDefault="00687C6F" w:rsidP="00264A3C">
            <w:pPr>
              <w:spacing w:line="360" w:lineRule="auto"/>
              <w:rPr>
                <w:rFonts w:ascii="Calibri" w:hAnsi="Calibri"/>
              </w:rPr>
            </w:pPr>
            <w:r w:rsidRPr="00185436">
              <w:rPr>
                <w:rFonts w:ascii="Calibri" w:eastAsia="Times New Roman" w:hAnsi="Calibri" w:cs="Tahoma"/>
                <w:b/>
                <w:color w:val="000000"/>
                <w:sz w:val="24"/>
                <w:szCs w:val="24"/>
              </w:rPr>
              <w:t>Purpose of the Panel</w:t>
            </w:r>
          </w:p>
        </w:tc>
      </w:tr>
      <w:tr w:rsidR="00687C6F" w:rsidRPr="00185436" w14:paraId="6EE2B87F" w14:textId="77777777" w:rsidTr="00264A3C">
        <w:tc>
          <w:tcPr>
            <w:tcW w:w="675" w:type="dxa"/>
            <w:tcBorders>
              <w:right w:val="single" w:sz="4" w:space="0" w:color="auto"/>
            </w:tcBorders>
          </w:tcPr>
          <w:p w14:paraId="6EE2B87D"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7E" w14:textId="77777777" w:rsidR="00687C6F" w:rsidRPr="00185436" w:rsidRDefault="00687C6F" w:rsidP="00264A3C">
            <w:pPr>
              <w:spacing w:line="360" w:lineRule="auto"/>
              <w:rPr>
                <w:rFonts w:ascii="Calibri" w:hAnsi="Calibri"/>
              </w:rPr>
            </w:pPr>
          </w:p>
        </w:tc>
      </w:tr>
      <w:tr w:rsidR="00687C6F" w:rsidRPr="00185436" w14:paraId="6EE2B882" w14:textId="77777777" w:rsidTr="00264A3C">
        <w:tc>
          <w:tcPr>
            <w:tcW w:w="675" w:type="dxa"/>
            <w:tcBorders>
              <w:right w:val="single" w:sz="4" w:space="0" w:color="auto"/>
            </w:tcBorders>
          </w:tcPr>
          <w:p w14:paraId="6EE2B880" w14:textId="77777777" w:rsidR="00687C6F" w:rsidRPr="00185436" w:rsidRDefault="00687C6F" w:rsidP="00264A3C">
            <w:pPr>
              <w:spacing w:line="360" w:lineRule="auto"/>
              <w:rPr>
                <w:rFonts w:ascii="Calibri" w:hAnsi="Calibri"/>
                <w:sz w:val="24"/>
                <w:szCs w:val="24"/>
              </w:rPr>
            </w:pPr>
            <w:r w:rsidRPr="00185436">
              <w:rPr>
                <w:rFonts w:ascii="Calibri" w:hAnsi="Calibri"/>
                <w:sz w:val="24"/>
                <w:szCs w:val="24"/>
              </w:rPr>
              <w:t>1.1</w:t>
            </w:r>
          </w:p>
        </w:tc>
        <w:tc>
          <w:tcPr>
            <w:tcW w:w="8567" w:type="dxa"/>
            <w:tcBorders>
              <w:left w:val="single" w:sz="4" w:space="0" w:color="auto"/>
            </w:tcBorders>
          </w:tcPr>
          <w:p w14:paraId="6EE2B881" w14:textId="77777777" w:rsidR="00687C6F" w:rsidRPr="00185436" w:rsidRDefault="00687C6F" w:rsidP="00264A3C">
            <w:pPr>
              <w:spacing w:line="360" w:lineRule="auto"/>
              <w:jc w:val="both"/>
              <w:rPr>
                <w:rFonts w:ascii="Calibri" w:hAnsi="Calibri"/>
                <w:sz w:val="24"/>
                <w:szCs w:val="24"/>
              </w:rPr>
            </w:pPr>
            <w:r w:rsidRPr="00185436">
              <w:rPr>
                <w:rFonts w:ascii="Calibri" w:hAnsi="Calibri"/>
                <w:sz w:val="24"/>
                <w:szCs w:val="24"/>
              </w:rPr>
              <w:t>Barnsley Metropolitan Borough Council must ensure that there is sufficient accommodation of all types for children in care and meet its sufficiency duty as laid down in Section 22G of the Children Act 1989.  The Act requires local authorities to take steps that secure, so far as reasonably practicable, sufficient accommodation within the authority’s area, which meets the needs of children that the local authority are looking after and whose circumstances are such that it would be consistent with their welfare for them to be provided with accommodation that is in the local authority’s area (‘the sufficiency duty’)’. The Statutory guidance on securing sufficient accommodation for looked after children 2010 clearly sets out the Local Authorities responsibilities.</w:t>
            </w:r>
          </w:p>
        </w:tc>
      </w:tr>
      <w:tr w:rsidR="00687C6F" w:rsidRPr="00185436" w14:paraId="6EE2B885" w14:textId="77777777" w:rsidTr="00264A3C">
        <w:tc>
          <w:tcPr>
            <w:tcW w:w="675" w:type="dxa"/>
            <w:tcBorders>
              <w:right w:val="single" w:sz="4" w:space="0" w:color="auto"/>
            </w:tcBorders>
          </w:tcPr>
          <w:p w14:paraId="6EE2B883"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84" w14:textId="77777777" w:rsidR="00687C6F" w:rsidRPr="00185436" w:rsidRDefault="00687C6F" w:rsidP="00264A3C">
            <w:pPr>
              <w:spacing w:line="360" w:lineRule="auto"/>
              <w:rPr>
                <w:rFonts w:ascii="Calibri" w:hAnsi="Calibri"/>
              </w:rPr>
            </w:pPr>
          </w:p>
        </w:tc>
      </w:tr>
      <w:tr w:rsidR="00687C6F" w:rsidRPr="00185436" w14:paraId="6EE2B888" w14:textId="77777777" w:rsidTr="00264A3C">
        <w:tc>
          <w:tcPr>
            <w:tcW w:w="675" w:type="dxa"/>
            <w:tcBorders>
              <w:right w:val="single" w:sz="4" w:space="0" w:color="auto"/>
            </w:tcBorders>
          </w:tcPr>
          <w:p w14:paraId="6EE2B886" w14:textId="77777777" w:rsidR="00687C6F" w:rsidRPr="00185436" w:rsidRDefault="00687C6F" w:rsidP="00264A3C">
            <w:pPr>
              <w:spacing w:line="360" w:lineRule="auto"/>
              <w:rPr>
                <w:rFonts w:ascii="Calibri" w:hAnsi="Calibri"/>
                <w:sz w:val="24"/>
                <w:szCs w:val="24"/>
              </w:rPr>
            </w:pPr>
            <w:r w:rsidRPr="00185436">
              <w:rPr>
                <w:rFonts w:ascii="Calibri" w:hAnsi="Calibri"/>
                <w:sz w:val="24"/>
                <w:szCs w:val="24"/>
              </w:rPr>
              <w:t>1.2</w:t>
            </w:r>
          </w:p>
        </w:tc>
        <w:tc>
          <w:tcPr>
            <w:tcW w:w="8567" w:type="dxa"/>
            <w:tcBorders>
              <w:left w:val="single" w:sz="4" w:space="0" w:color="auto"/>
            </w:tcBorders>
          </w:tcPr>
          <w:p w14:paraId="6EE2B887" w14:textId="77777777" w:rsidR="00687C6F" w:rsidRPr="00185436" w:rsidRDefault="00F41F82" w:rsidP="00264A3C">
            <w:pPr>
              <w:spacing w:line="360" w:lineRule="auto"/>
              <w:jc w:val="both"/>
              <w:rPr>
                <w:rFonts w:ascii="Calibri" w:hAnsi="Calibri"/>
                <w:sz w:val="24"/>
                <w:szCs w:val="24"/>
              </w:rPr>
            </w:pPr>
            <w:r>
              <w:rPr>
                <w:rFonts w:ascii="Calibri" w:eastAsia="Times New Roman" w:hAnsi="Calibri" w:cs="Tahoma"/>
                <w:color w:val="000000"/>
                <w:sz w:val="24"/>
                <w:szCs w:val="24"/>
              </w:rPr>
              <w:t>The Placement Sufficie</w:t>
            </w:r>
            <w:r w:rsidR="00663DAC">
              <w:rPr>
                <w:rFonts w:ascii="Calibri" w:eastAsia="Times New Roman" w:hAnsi="Calibri" w:cs="Tahoma"/>
                <w:color w:val="000000"/>
                <w:sz w:val="24"/>
                <w:szCs w:val="24"/>
              </w:rPr>
              <w:t xml:space="preserve">ncy and Strategy Board has been established to provide Governance and Senior Management oversight to </w:t>
            </w:r>
            <w:r>
              <w:rPr>
                <w:rFonts w:ascii="Calibri" w:eastAsia="Times New Roman" w:hAnsi="Calibri" w:cs="Tahoma"/>
                <w:color w:val="000000"/>
                <w:sz w:val="24"/>
                <w:szCs w:val="24"/>
              </w:rPr>
              <w:t xml:space="preserve">the placements for children in care. </w:t>
            </w:r>
          </w:p>
        </w:tc>
      </w:tr>
      <w:tr w:rsidR="00687C6F" w:rsidRPr="00185436" w14:paraId="6EE2B88B" w14:textId="77777777" w:rsidTr="00264A3C">
        <w:tc>
          <w:tcPr>
            <w:tcW w:w="675" w:type="dxa"/>
            <w:tcBorders>
              <w:right w:val="single" w:sz="4" w:space="0" w:color="auto"/>
            </w:tcBorders>
          </w:tcPr>
          <w:p w14:paraId="6EE2B889"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8A" w14:textId="77777777" w:rsidR="00687C6F" w:rsidRPr="00185436" w:rsidRDefault="00687C6F" w:rsidP="00264A3C">
            <w:pPr>
              <w:spacing w:line="360" w:lineRule="auto"/>
              <w:rPr>
                <w:rFonts w:ascii="Calibri" w:hAnsi="Calibri"/>
              </w:rPr>
            </w:pPr>
          </w:p>
        </w:tc>
      </w:tr>
      <w:tr w:rsidR="00687C6F" w:rsidRPr="00185436" w14:paraId="6EE2B88E" w14:textId="77777777" w:rsidTr="00264A3C">
        <w:tc>
          <w:tcPr>
            <w:tcW w:w="675" w:type="dxa"/>
            <w:tcBorders>
              <w:right w:val="single" w:sz="4" w:space="0" w:color="auto"/>
            </w:tcBorders>
          </w:tcPr>
          <w:p w14:paraId="6EE2B88C" w14:textId="77777777" w:rsidR="00687C6F" w:rsidRPr="00185436" w:rsidRDefault="00687C6F" w:rsidP="00264A3C">
            <w:pPr>
              <w:spacing w:line="360" w:lineRule="auto"/>
              <w:rPr>
                <w:rFonts w:ascii="Calibri" w:hAnsi="Calibri"/>
                <w:sz w:val="24"/>
                <w:szCs w:val="24"/>
              </w:rPr>
            </w:pPr>
            <w:r w:rsidRPr="00185436">
              <w:rPr>
                <w:rFonts w:ascii="Calibri" w:hAnsi="Calibri"/>
                <w:sz w:val="24"/>
                <w:szCs w:val="24"/>
              </w:rPr>
              <w:t>1.3</w:t>
            </w:r>
          </w:p>
        </w:tc>
        <w:tc>
          <w:tcPr>
            <w:tcW w:w="8567" w:type="dxa"/>
            <w:tcBorders>
              <w:left w:val="single" w:sz="4" w:space="0" w:color="auto"/>
            </w:tcBorders>
          </w:tcPr>
          <w:p w14:paraId="6EE2B88D" w14:textId="77777777" w:rsidR="00687C6F" w:rsidRPr="00185436" w:rsidRDefault="00687C6F" w:rsidP="00F41F82">
            <w:pPr>
              <w:spacing w:line="360" w:lineRule="auto"/>
              <w:jc w:val="both"/>
              <w:rPr>
                <w:rFonts w:ascii="Calibri" w:eastAsia="Times New Roman" w:hAnsi="Calibri" w:cs="Tahoma"/>
                <w:color w:val="000000"/>
                <w:sz w:val="24"/>
                <w:szCs w:val="24"/>
              </w:rPr>
            </w:pPr>
            <w:r w:rsidRPr="00185436">
              <w:rPr>
                <w:rFonts w:ascii="Calibri" w:eastAsia="Times New Roman" w:hAnsi="Calibri" w:cs="Tahoma"/>
                <w:color w:val="000000"/>
                <w:sz w:val="24"/>
                <w:szCs w:val="24"/>
              </w:rPr>
              <w:t xml:space="preserve">The </w:t>
            </w:r>
            <w:r w:rsidR="00F41F82">
              <w:rPr>
                <w:rFonts w:ascii="Calibri" w:eastAsia="Times New Roman" w:hAnsi="Calibri" w:cs="Tahoma"/>
                <w:color w:val="000000"/>
                <w:sz w:val="24"/>
                <w:szCs w:val="24"/>
              </w:rPr>
              <w:t>Board</w:t>
            </w:r>
            <w:r w:rsidRPr="00185436">
              <w:rPr>
                <w:rFonts w:ascii="Calibri" w:eastAsia="Times New Roman" w:hAnsi="Calibri" w:cs="Tahoma"/>
                <w:color w:val="000000"/>
                <w:sz w:val="24"/>
                <w:szCs w:val="24"/>
              </w:rPr>
              <w:t xml:space="preserve"> will </w:t>
            </w:r>
            <w:r w:rsidR="00F41F82">
              <w:rPr>
                <w:rFonts w:ascii="Calibri" w:eastAsia="Times New Roman" w:hAnsi="Calibri" w:cs="Tahoma"/>
                <w:color w:val="000000"/>
                <w:sz w:val="24"/>
                <w:szCs w:val="24"/>
              </w:rPr>
              <w:t>report on and monitor service performance linked to the Placement Sufficiency Strategy</w:t>
            </w:r>
            <w:r w:rsidRPr="00185436">
              <w:rPr>
                <w:rFonts w:ascii="Calibri" w:eastAsia="Times New Roman" w:hAnsi="Calibri" w:cs="Tahoma"/>
                <w:color w:val="000000"/>
                <w:sz w:val="24"/>
                <w:szCs w:val="24"/>
              </w:rPr>
              <w:t>, using insight to inform future strategies and set challenging targets in relation to our care population.</w:t>
            </w:r>
          </w:p>
        </w:tc>
      </w:tr>
      <w:tr w:rsidR="00687C6F" w:rsidRPr="00185436" w14:paraId="6EE2B892" w14:textId="77777777" w:rsidTr="00264A3C">
        <w:tc>
          <w:tcPr>
            <w:tcW w:w="675" w:type="dxa"/>
            <w:tcBorders>
              <w:right w:val="single" w:sz="4" w:space="0" w:color="auto"/>
            </w:tcBorders>
          </w:tcPr>
          <w:p w14:paraId="6EE2B88F"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90" w14:textId="77777777" w:rsidR="00687C6F" w:rsidRDefault="00687C6F" w:rsidP="00264A3C">
            <w:pPr>
              <w:spacing w:line="360" w:lineRule="auto"/>
              <w:rPr>
                <w:rFonts w:ascii="Calibri" w:hAnsi="Calibri"/>
              </w:rPr>
            </w:pPr>
          </w:p>
          <w:p w14:paraId="6EE2B891" w14:textId="77777777" w:rsidR="00F336C3" w:rsidRPr="00185436" w:rsidRDefault="00F336C3" w:rsidP="00264A3C">
            <w:pPr>
              <w:spacing w:line="360" w:lineRule="auto"/>
              <w:rPr>
                <w:rFonts w:ascii="Calibri" w:hAnsi="Calibri"/>
              </w:rPr>
            </w:pPr>
          </w:p>
        </w:tc>
      </w:tr>
      <w:tr w:rsidR="00687C6F" w:rsidRPr="00185436" w14:paraId="6EE2B895" w14:textId="77777777" w:rsidTr="00264A3C">
        <w:tc>
          <w:tcPr>
            <w:tcW w:w="675" w:type="dxa"/>
            <w:tcBorders>
              <w:right w:val="single" w:sz="4" w:space="0" w:color="auto"/>
            </w:tcBorders>
          </w:tcPr>
          <w:p w14:paraId="6EE2B893" w14:textId="77777777" w:rsidR="00687C6F" w:rsidRPr="00185436" w:rsidRDefault="00687C6F" w:rsidP="00264A3C">
            <w:pPr>
              <w:spacing w:line="360" w:lineRule="auto"/>
              <w:rPr>
                <w:rFonts w:ascii="Calibri" w:hAnsi="Calibri"/>
                <w:b/>
                <w:sz w:val="24"/>
                <w:szCs w:val="24"/>
              </w:rPr>
            </w:pPr>
            <w:r w:rsidRPr="00185436">
              <w:rPr>
                <w:rFonts w:ascii="Calibri" w:hAnsi="Calibri"/>
                <w:b/>
                <w:sz w:val="24"/>
                <w:szCs w:val="24"/>
              </w:rPr>
              <w:t>2</w:t>
            </w:r>
          </w:p>
        </w:tc>
        <w:tc>
          <w:tcPr>
            <w:tcW w:w="8567" w:type="dxa"/>
            <w:tcBorders>
              <w:left w:val="single" w:sz="4" w:space="0" w:color="auto"/>
            </w:tcBorders>
          </w:tcPr>
          <w:p w14:paraId="6EE2B894" w14:textId="77777777" w:rsidR="00687C6F" w:rsidRPr="00185436" w:rsidRDefault="00687C6F" w:rsidP="008545EE">
            <w:pPr>
              <w:spacing w:line="360" w:lineRule="auto"/>
              <w:jc w:val="both"/>
              <w:rPr>
                <w:rFonts w:ascii="Calibri" w:eastAsia="Times New Roman" w:hAnsi="Calibri" w:cs="Tahoma"/>
                <w:b/>
                <w:color w:val="000000"/>
                <w:sz w:val="24"/>
                <w:szCs w:val="24"/>
              </w:rPr>
            </w:pPr>
            <w:r w:rsidRPr="00185436">
              <w:rPr>
                <w:rFonts w:ascii="Calibri" w:eastAsia="Times New Roman" w:hAnsi="Calibri" w:cs="Tahoma"/>
                <w:b/>
                <w:color w:val="000000"/>
                <w:sz w:val="24"/>
                <w:szCs w:val="24"/>
              </w:rPr>
              <w:t xml:space="preserve">Key Objectives of the </w:t>
            </w:r>
            <w:r w:rsidR="008545EE">
              <w:rPr>
                <w:rFonts w:ascii="Calibri" w:eastAsia="Times New Roman" w:hAnsi="Calibri" w:cs="Tahoma"/>
                <w:b/>
                <w:color w:val="000000"/>
                <w:sz w:val="24"/>
                <w:szCs w:val="24"/>
              </w:rPr>
              <w:t>Board</w:t>
            </w:r>
          </w:p>
        </w:tc>
      </w:tr>
      <w:tr w:rsidR="00687C6F" w:rsidRPr="00185436" w14:paraId="6EE2B898" w14:textId="77777777" w:rsidTr="00264A3C">
        <w:tc>
          <w:tcPr>
            <w:tcW w:w="675" w:type="dxa"/>
            <w:tcBorders>
              <w:right w:val="single" w:sz="4" w:space="0" w:color="auto"/>
            </w:tcBorders>
          </w:tcPr>
          <w:p w14:paraId="6EE2B896"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97" w14:textId="77777777" w:rsidR="00687C6F" w:rsidRPr="00185436" w:rsidRDefault="00687C6F" w:rsidP="00264A3C">
            <w:pPr>
              <w:spacing w:line="360" w:lineRule="auto"/>
              <w:rPr>
                <w:rFonts w:ascii="Calibri" w:hAnsi="Calibri"/>
              </w:rPr>
            </w:pPr>
          </w:p>
        </w:tc>
      </w:tr>
      <w:tr w:rsidR="00687C6F" w:rsidRPr="00185436" w14:paraId="6EE2B8A1" w14:textId="77777777" w:rsidTr="00264A3C">
        <w:tc>
          <w:tcPr>
            <w:tcW w:w="675" w:type="dxa"/>
            <w:tcBorders>
              <w:right w:val="single" w:sz="4" w:space="0" w:color="auto"/>
            </w:tcBorders>
          </w:tcPr>
          <w:p w14:paraId="6EE2B899" w14:textId="77777777" w:rsidR="00687C6F" w:rsidRPr="00185436" w:rsidRDefault="00687C6F" w:rsidP="00264A3C">
            <w:pPr>
              <w:spacing w:line="360" w:lineRule="auto"/>
              <w:rPr>
                <w:rFonts w:ascii="Calibri" w:hAnsi="Calibri"/>
                <w:sz w:val="24"/>
                <w:szCs w:val="24"/>
              </w:rPr>
            </w:pPr>
            <w:r w:rsidRPr="00185436">
              <w:rPr>
                <w:rFonts w:ascii="Calibri" w:hAnsi="Calibri"/>
                <w:sz w:val="24"/>
                <w:szCs w:val="24"/>
              </w:rPr>
              <w:t>2.1</w:t>
            </w:r>
          </w:p>
        </w:tc>
        <w:tc>
          <w:tcPr>
            <w:tcW w:w="8567" w:type="dxa"/>
            <w:tcBorders>
              <w:left w:val="single" w:sz="4" w:space="0" w:color="auto"/>
            </w:tcBorders>
          </w:tcPr>
          <w:p w14:paraId="6EE2B89A" w14:textId="77777777" w:rsidR="00687C6F" w:rsidRPr="00185436" w:rsidRDefault="00687C6F" w:rsidP="00264A3C">
            <w:pPr>
              <w:spacing w:line="360" w:lineRule="auto"/>
              <w:jc w:val="both"/>
              <w:rPr>
                <w:rFonts w:ascii="Calibri" w:eastAsia="Times New Roman" w:hAnsi="Calibri" w:cs="Tahoma"/>
                <w:color w:val="000000"/>
                <w:sz w:val="24"/>
                <w:szCs w:val="24"/>
              </w:rPr>
            </w:pPr>
            <w:r w:rsidRPr="00185436">
              <w:rPr>
                <w:rFonts w:ascii="Calibri" w:eastAsia="Times New Roman" w:hAnsi="Calibri" w:cs="Tahoma"/>
                <w:color w:val="000000"/>
                <w:sz w:val="24"/>
                <w:szCs w:val="24"/>
              </w:rPr>
              <w:t xml:space="preserve">The </w:t>
            </w:r>
            <w:r w:rsidR="008545EE">
              <w:rPr>
                <w:rFonts w:ascii="Calibri" w:eastAsia="Times New Roman" w:hAnsi="Calibri" w:cs="Tahoma"/>
                <w:color w:val="000000"/>
                <w:sz w:val="24"/>
                <w:szCs w:val="24"/>
              </w:rPr>
              <w:t>Board</w:t>
            </w:r>
            <w:r w:rsidRPr="00185436">
              <w:rPr>
                <w:rFonts w:ascii="Calibri" w:eastAsia="Times New Roman" w:hAnsi="Calibri" w:cs="Tahoma"/>
                <w:color w:val="000000"/>
                <w:sz w:val="24"/>
                <w:szCs w:val="24"/>
              </w:rPr>
              <w:t xml:space="preserve">; </w:t>
            </w:r>
          </w:p>
          <w:p w14:paraId="6EE2B89B" w14:textId="77777777" w:rsidR="00571A6F" w:rsidRDefault="008545EE" w:rsidP="00264A3C">
            <w:pPr>
              <w:pStyle w:val="ListParagraph"/>
              <w:numPr>
                <w:ilvl w:val="0"/>
                <w:numId w:val="2"/>
              </w:numPr>
              <w:spacing w:line="360" w:lineRule="auto"/>
              <w:rPr>
                <w:rFonts w:ascii="Calibri" w:hAnsi="Calibri" w:cs="Arial"/>
                <w:sz w:val="24"/>
                <w:szCs w:val="24"/>
              </w:rPr>
            </w:pPr>
            <w:r>
              <w:rPr>
                <w:rFonts w:ascii="Calibri" w:hAnsi="Calibri" w:cs="Arial"/>
                <w:sz w:val="24"/>
                <w:szCs w:val="24"/>
              </w:rPr>
              <w:t xml:space="preserve">Will have oversight of all </w:t>
            </w:r>
            <w:r w:rsidR="00571A6F">
              <w:rPr>
                <w:rFonts w:ascii="Calibri" w:hAnsi="Calibri" w:cs="Arial"/>
                <w:sz w:val="24"/>
                <w:szCs w:val="24"/>
              </w:rPr>
              <w:t>p</w:t>
            </w:r>
            <w:r>
              <w:rPr>
                <w:rFonts w:ascii="Calibri" w:hAnsi="Calibri" w:cs="Arial"/>
                <w:sz w:val="24"/>
                <w:szCs w:val="24"/>
              </w:rPr>
              <w:t xml:space="preserve">lacement expenditure against </w:t>
            </w:r>
            <w:r w:rsidR="00571A6F">
              <w:rPr>
                <w:rFonts w:ascii="Calibri" w:hAnsi="Calibri" w:cs="Arial"/>
                <w:sz w:val="24"/>
                <w:szCs w:val="24"/>
              </w:rPr>
              <w:t xml:space="preserve">the proposed budget </w:t>
            </w:r>
          </w:p>
          <w:p w14:paraId="6EE2B89C" w14:textId="77777777" w:rsidR="00F62815" w:rsidRDefault="00F62815" w:rsidP="00264A3C">
            <w:pPr>
              <w:pStyle w:val="ListParagraph"/>
              <w:numPr>
                <w:ilvl w:val="0"/>
                <w:numId w:val="2"/>
              </w:numPr>
              <w:spacing w:line="360" w:lineRule="auto"/>
              <w:rPr>
                <w:rFonts w:ascii="Calibri" w:hAnsi="Calibri" w:cs="Arial"/>
                <w:sz w:val="24"/>
                <w:szCs w:val="24"/>
              </w:rPr>
            </w:pPr>
            <w:r>
              <w:rPr>
                <w:rFonts w:ascii="Calibri" w:hAnsi="Calibri" w:cs="Arial"/>
                <w:sz w:val="24"/>
                <w:szCs w:val="24"/>
              </w:rPr>
              <w:t>Will provide strategic direction in relation to placement provision and sufficiency</w:t>
            </w:r>
          </w:p>
          <w:p w14:paraId="6EE2B89D" w14:textId="1A98ABA1" w:rsidR="00571A6F" w:rsidRDefault="00571A6F" w:rsidP="00571A6F">
            <w:pPr>
              <w:pStyle w:val="ListParagraph"/>
              <w:numPr>
                <w:ilvl w:val="0"/>
                <w:numId w:val="2"/>
              </w:numPr>
              <w:spacing w:line="360" w:lineRule="auto"/>
              <w:rPr>
                <w:rFonts w:ascii="Calibri" w:hAnsi="Calibri" w:cs="Arial"/>
                <w:sz w:val="24"/>
                <w:szCs w:val="24"/>
              </w:rPr>
            </w:pPr>
            <w:r>
              <w:rPr>
                <w:rFonts w:ascii="Calibri" w:hAnsi="Calibri" w:cs="Arial"/>
                <w:sz w:val="24"/>
                <w:szCs w:val="24"/>
              </w:rPr>
              <w:lastRenderedPageBreak/>
              <w:t>Will monitor and review performance against Key Performance Indicators articulated within the Placement Sufficiency Strategy</w:t>
            </w:r>
            <w:r w:rsidR="0027081F">
              <w:rPr>
                <w:rFonts w:ascii="Calibri" w:hAnsi="Calibri" w:cs="Arial"/>
                <w:sz w:val="24"/>
                <w:szCs w:val="24"/>
              </w:rPr>
              <w:t xml:space="preserve"> and</w:t>
            </w:r>
            <w:r w:rsidR="0027081F">
              <w:rPr>
                <w:rFonts w:ascii="Calibri" w:hAnsi="Calibri" w:cs="Arial"/>
                <w:sz w:val="24"/>
                <w:szCs w:val="24"/>
              </w:rPr>
              <w:t xml:space="preserve"> </w:t>
            </w:r>
            <w:r w:rsidR="0027081F">
              <w:rPr>
                <w:rFonts w:ascii="Calibri" w:hAnsi="Calibri" w:cs="Arial"/>
                <w:sz w:val="24"/>
                <w:szCs w:val="24"/>
              </w:rPr>
              <w:t xml:space="preserve">action plan </w:t>
            </w:r>
          </w:p>
          <w:p w14:paraId="6EE2B89E" w14:textId="77777777" w:rsidR="00571A6F" w:rsidRDefault="00F62815" w:rsidP="00571A6F">
            <w:pPr>
              <w:pStyle w:val="ListParagraph"/>
              <w:numPr>
                <w:ilvl w:val="0"/>
                <w:numId w:val="2"/>
              </w:numPr>
              <w:spacing w:line="360" w:lineRule="auto"/>
              <w:rPr>
                <w:rFonts w:ascii="Calibri" w:hAnsi="Calibri" w:cs="Arial"/>
                <w:sz w:val="24"/>
                <w:szCs w:val="24"/>
              </w:rPr>
            </w:pPr>
            <w:r>
              <w:rPr>
                <w:rFonts w:ascii="Calibri" w:hAnsi="Calibri" w:cs="Arial"/>
                <w:sz w:val="24"/>
                <w:szCs w:val="24"/>
              </w:rPr>
              <w:t>Will m</w:t>
            </w:r>
            <w:r w:rsidR="00571A6F">
              <w:rPr>
                <w:rFonts w:ascii="Calibri" w:hAnsi="Calibri" w:cs="Arial"/>
                <w:sz w:val="24"/>
                <w:szCs w:val="24"/>
              </w:rPr>
              <w:t xml:space="preserve">onitor and review on a monthly basis the service’s delivery and performance </w:t>
            </w:r>
            <w:r w:rsidR="00F41F82">
              <w:rPr>
                <w:rFonts w:ascii="Calibri" w:hAnsi="Calibri" w:cs="Arial"/>
                <w:sz w:val="24"/>
                <w:szCs w:val="24"/>
              </w:rPr>
              <w:t>concerning</w:t>
            </w:r>
            <w:r w:rsidR="00571A6F">
              <w:rPr>
                <w:rFonts w:ascii="Calibri" w:hAnsi="Calibri" w:cs="Arial"/>
                <w:sz w:val="24"/>
                <w:szCs w:val="24"/>
              </w:rPr>
              <w:t xml:space="preserve"> purchased IFA and residential placements</w:t>
            </w:r>
          </w:p>
          <w:p w14:paraId="6EE2B89F" w14:textId="77777777" w:rsidR="00571A6F" w:rsidRDefault="00F62815" w:rsidP="00571A6F">
            <w:pPr>
              <w:pStyle w:val="ListParagraph"/>
              <w:numPr>
                <w:ilvl w:val="0"/>
                <w:numId w:val="2"/>
              </w:numPr>
              <w:spacing w:line="360" w:lineRule="auto"/>
              <w:rPr>
                <w:rFonts w:ascii="Calibri" w:hAnsi="Calibri" w:cs="Arial"/>
                <w:sz w:val="24"/>
                <w:szCs w:val="24"/>
              </w:rPr>
            </w:pPr>
            <w:r>
              <w:rPr>
                <w:rFonts w:ascii="Calibri" w:hAnsi="Calibri" w:cs="Arial"/>
                <w:sz w:val="24"/>
                <w:szCs w:val="24"/>
              </w:rPr>
              <w:t>Will m</w:t>
            </w:r>
            <w:r w:rsidR="00571A6F">
              <w:rPr>
                <w:rFonts w:ascii="Calibri" w:hAnsi="Calibri" w:cs="Arial"/>
                <w:sz w:val="24"/>
                <w:szCs w:val="24"/>
              </w:rPr>
              <w:t>onitor and review placement resource demand and highlight areas where future investment is required</w:t>
            </w:r>
          </w:p>
          <w:p w14:paraId="6EE2B8A0" w14:textId="77777777" w:rsidR="00687C6F" w:rsidRPr="00F62815" w:rsidRDefault="00F41F82" w:rsidP="00F41F82">
            <w:pPr>
              <w:pStyle w:val="ListParagraph"/>
              <w:numPr>
                <w:ilvl w:val="0"/>
                <w:numId w:val="2"/>
              </w:numPr>
              <w:spacing w:line="360" w:lineRule="auto"/>
              <w:rPr>
                <w:rFonts w:ascii="Calibri" w:hAnsi="Calibri" w:cs="Arial"/>
                <w:sz w:val="24"/>
                <w:szCs w:val="24"/>
              </w:rPr>
            </w:pPr>
            <w:r>
              <w:rPr>
                <w:rFonts w:ascii="Calibri" w:hAnsi="Calibri" w:cs="Arial"/>
                <w:sz w:val="24"/>
                <w:szCs w:val="24"/>
              </w:rPr>
              <w:t>Produce and r</w:t>
            </w:r>
            <w:r w:rsidR="00F62815">
              <w:rPr>
                <w:rFonts w:ascii="Calibri" w:hAnsi="Calibri" w:cs="Arial"/>
                <w:sz w:val="24"/>
                <w:szCs w:val="24"/>
              </w:rPr>
              <w:t>atify quarterly performance reports for submission to DMT relating to the indicators outlined in the Placement Sufficiency Strategy</w:t>
            </w:r>
          </w:p>
        </w:tc>
      </w:tr>
      <w:tr w:rsidR="00687C6F" w:rsidRPr="00185436" w14:paraId="6EE2B8A4" w14:textId="77777777" w:rsidTr="00264A3C">
        <w:tc>
          <w:tcPr>
            <w:tcW w:w="675" w:type="dxa"/>
            <w:tcBorders>
              <w:right w:val="single" w:sz="4" w:space="0" w:color="auto"/>
            </w:tcBorders>
          </w:tcPr>
          <w:p w14:paraId="6EE2B8A2"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A3" w14:textId="77777777" w:rsidR="00161CE7" w:rsidRPr="00185436" w:rsidRDefault="00161CE7" w:rsidP="00264A3C">
            <w:pPr>
              <w:spacing w:line="360" w:lineRule="auto"/>
              <w:rPr>
                <w:rFonts w:ascii="Calibri" w:hAnsi="Calibri"/>
              </w:rPr>
            </w:pPr>
          </w:p>
        </w:tc>
      </w:tr>
      <w:tr w:rsidR="00687C6F" w:rsidRPr="00185436" w14:paraId="6EE2B8A7" w14:textId="77777777" w:rsidTr="00264A3C">
        <w:tc>
          <w:tcPr>
            <w:tcW w:w="675" w:type="dxa"/>
            <w:tcBorders>
              <w:right w:val="single" w:sz="4" w:space="0" w:color="auto"/>
            </w:tcBorders>
          </w:tcPr>
          <w:p w14:paraId="6EE2B8A5" w14:textId="77777777" w:rsidR="00687C6F" w:rsidRPr="00185436" w:rsidRDefault="00687C6F" w:rsidP="00264A3C">
            <w:pPr>
              <w:spacing w:line="360" w:lineRule="auto"/>
              <w:rPr>
                <w:rFonts w:ascii="Calibri" w:hAnsi="Calibri"/>
                <w:b/>
                <w:sz w:val="24"/>
                <w:szCs w:val="24"/>
              </w:rPr>
            </w:pPr>
            <w:r w:rsidRPr="00185436">
              <w:rPr>
                <w:rFonts w:ascii="Calibri" w:hAnsi="Calibri"/>
                <w:b/>
                <w:sz w:val="24"/>
                <w:szCs w:val="24"/>
              </w:rPr>
              <w:t>3</w:t>
            </w:r>
          </w:p>
        </w:tc>
        <w:tc>
          <w:tcPr>
            <w:tcW w:w="8567" w:type="dxa"/>
            <w:tcBorders>
              <w:left w:val="single" w:sz="4" w:space="0" w:color="auto"/>
            </w:tcBorders>
          </w:tcPr>
          <w:p w14:paraId="6EE2B8A6" w14:textId="77777777" w:rsidR="00687C6F" w:rsidRPr="00185436" w:rsidRDefault="00687C6F" w:rsidP="00264A3C">
            <w:pPr>
              <w:spacing w:line="360" w:lineRule="auto"/>
              <w:jc w:val="both"/>
              <w:rPr>
                <w:rFonts w:ascii="Calibri" w:eastAsia="Times New Roman" w:hAnsi="Calibri" w:cs="Tahoma"/>
                <w:b/>
                <w:color w:val="000000"/>
                <w:sz w:val="24"/>
                <w:szCs w:val="24"/>
              </w:rPr>
            </w:pPr>
            <w:r w:rsidRPr="00185436">
              <w:rPr>
                <w:rFonts w:ascii="Calibri" w:eastAsia="Times New Roman" w:hAnsi="Calibri" w:cs="Tahoma"/>
                <w:b/>
                <w:color w:val="000000"/>
                <w:sz w:val="24"/>
                <w:szCs w:val="24"/>
              </w:rPr>
              <w:t>Key Actions of the Panel</w:t>
            </w:r>
          </w:p>
        </w:tc>
      </w:tr>
      <w:tr w:rsidR="00687C6F" w:rsidRPr="00185436" w14:paraId="6EE2B8AA" w14:textId="77777777" w:rsidTr="00264A3C">
        <w:tc>
          <w:tcPr>
            <w:tcW w:w="675" w:type="dxa"/>
            <w:tcBorders>
              <w:right w:val="single" w:sz="4" w:space="0" w:color="auto"/>
            </w:tcBorders>
          </w:tcPr>
          <w:p w14:paraId="6EE2B8A8"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A9" w14:textId="77777777" w:rsidR="00687C6F" w:rsidRPr="00185436" w:rsidRDefault="00687C6F" w:rsidP="00264A3C">
            <w:pPr>
              <w:spacing w:line="360" w:lineRule="auto"/>
              <w:rPr>
                <w:rFonts w:ascii="Calibri" w:hAnsi="Calibri"/>
              </w:rPr>
            </w:pPr>
          </w:p>
        </w:tc>
      </w:tr>
      <w:tr w:rsidR="00687C6F" w:rsidRPr="00185436" w14:paraId="6EE2B8AD" w14:textId="77777777" w:rsidTr="00264A3C">
        <w:tc>
          <w:tcPr>
            <w:tcW w:w="675" w:type="dxa"/>
            <w:tcBorders>
              <w:right w:val="single" w:sz="4" w:space="0" w:color="auto"/>
            </w:tcBorders>
          </w:tcPr>
          <w:p w14:paraId="6EE2B8AB" w14:textId="77777777" w:rsidR="00687C6F" w:rsidRPr="00185436" w:rsidRDefault="00687C6F" w:rsidP="00264A3C">
            <w:pPr>
              <w:spacing w:line="360" w:lineRule="auto"/>
              <w:rPr>
                <w:rFonts w:ascii="Calibri" w:hAnsi="Calibri"/>
                <w:sz w:val="24"/>
                <w:szCs w:val="24"/>
              </w:rPr>
            </w:pPr>
            <w:r w:rsidRPr="00185436">
              <w:rPr>
                <w:rFonts w:ascii="Calibri" w:hAnsi="Calibri"/>
                <w:sz w:val="24"/>
                <w:szCs w:val="24"/>
              </w:rPr>
              <w:t>3.1</w:t>
            </w:r>
          </w:p>
        </w:tc>
        <w:tc>
          <w:tcPr>
            <w:tcW w:w="8567" w:type="dxa"/>
            <w:tcBorders>
              <w:left w:val="single" w:sz="4" w:space="0" w:color="auto"/>
            </w:tcBorders>
          </w:tcPr>
          <w:p w14:paraId="6EE2B8AC" w14:textId="77777777" w:rsidR="00F37F12" w:rsidRPr="00F62815" w:rsidRDefault="00687C6F" w:rsidP="00F62815">
            <w:pPr>
              <w:tabs>
                <w:tab w:val="left" w:pos="576"/>
              </w:tabs>
              <w:spacing w:line="360" w:lineRule="auto"/>
              <w:jc w:val="both"/>
              <w:rPr>
                <w:rFonts w:ascii="Calibri" w:hAnsi="Calibri" w:cs="Arial"/>
                <w:sz w:val="24"/>
                <w:szCs w:val="24"/>
              </w:rPr>
            </w:pPr>
            <w:r w:rsidRPr="00185436">
              <w:rPr>
                <w:rFonts w:ascii="Calibri" w:hAnsi="Calibri" w:cs="Arial"/>
                <w:sz w:val="24"/>
                <w:szCs w:val="24"/>
              </w:rPr>
              <w:t xml:space="preserve">The </w:t>
            </w:r>
            <w:r w:rsidR="00F62815">
              <w:rPr>
                <w:rFonts w:ascii="Calibri" w:hAnsi="Calibri" w:cs="Arial"/>
                <w:sz w:val="24"/>
                <w:szCs w:val="24"/>
              </w:rPr>
              <w:t>Board</w:t>
            </w:r>
            <w:r w:rsidRPr="00185436">
              <w:rPr>
                <w:rFonts w:ascii="Calibri" w:hAnsi="Calibri" w:cs="Arial"/>
                <w:sz w:val="24"/>
                <w:szCs w:val="24"/>
              </w:rPr>
              <w:t xml:space="preserve"> will ensure that </w:t>
            </w:r>
            <w:r w:rsidR="00F62815">
              <w:rPr>
                <w:rFonts w:ascii="Calibri" w:hAnsi="Calibri" w:cs="Arial"/>
                <w:sz w:val="24"/>
                <w:szCs w:val="24"/>
              </w:rPr>
              <w:t>sufficient scrutiny is applied to this significant area of expenditure</w:t>
            </w:r>
          </w:p>
        </w:tc>
      </w:tr>
      <w:tr w:rsidR="00687C6F" w:rsidRPr="00185436" w14:paraId="6EE2B8B0" w14:textId="77777777" w:rsidTr="00264A3C">
        <w:tc>
          <w:tcPr>
            <w:tcW w:w="675" w:type="dxa"/>
            <w:tcBorders>
              <w:right w:val="single" w:sz="4" w:space="0" w:color="auto"/>
            </w:tcBorders>
          </w:tcPr>
          <w:p w14:paraId="6EE2B8AE"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AF" w14:textId="77777777" w:rsidR="00687C6F" w:rsidRPr="00185436" w:rsidRDefault="00687C6F" w:rsidP="00264A3C">
            <w:pPr>
              <w:spacing w:line="360" w:lineRule="auto"/>
              <w:rPr>
                <w:rFonts w:ascii="Calibri" w:hAnsi="Calibri"/>
              </w:rPr>
            </w:pPr>
          </w:p>
        </w:tc>
      </w:tr>
      <w:tr w:rsidR="00687C6F" w:rsidRPr="00185436" w14:paraId="6EE2B8B8" w14:textId="77777777" w:rsidTr="00264A3C">
        <w:tc>
          <w:tcPr>
            <w:tcW w:w="675" w:type="dxa"/>
            <w:tcBorders>
              <w:right w:val="single" w:sz="4" w:space="0" w:color="auto"/>
            </w:tcBorders>
          </w:tcPr>
          <w:p w14:paraId="6EE2B8B1" w14:textId="77777777" w:rsidR="00687C6F" w:rsidRDefault="00687C6F" w:rsidP="00264A3C">
            <w:pPr>
              <w:spacing w:line="360" w:lineRule="auto"/>
              <w:rPr>
                <w:rFonts w:ascii="Calibri" w:hAnsi="Calibri"/>
                <w:sz w:val="24"/>
                <w:szCs w:val="24"/>
              </w:rPr>
            </w:pPr>
            <w:r w:rsidRPr="00185436">
              <w:rPr>
                <w:rFonts w:ascii="Calibri" w:hAnsi="Calibri"/>
                <w:sz w:val="24"/>
                <w:szCs w:val="24"/>
              </w:rPr>
              <w:t>3.2</w:t>
            </w:r>
          </w:p>
          <w:p w14:paraId="6EE2B8B2" w14:textId="77777777" w:rsidR="00F62815" w:rsidRDefault="00F62815" w:rsidP="00264A3C">
            <w:pPr>
              <w:spacing w:line="360" w:lineRule="auto"/>
              <w:rPr>
                <w:rFonts w:ascii="Calibri" w:hAnsi="Calibri"/>
                <w:sz w:val="24"/>
                <w:szCs w:val="24"/>
              </w:rPr>
            </w:pPr>
          </w:p>
          <w:p w14:paraId="6EE2B8B3" w14:textId="77777777" w:rsidR="00F62815" w:rsidRPr="00185436" w:rsidRDefault="00F62815" w:rsidP="00264A3C">
            <w:pPr>
              <w:spacing w:line="360" w:lineRule="auto"/>
              <w:rPr>
                <w:rFonts w:ascii="Calibri" w:hAnsi="Calibri"/>
                <w:sz w:val="24"/>
                <w:szCs w:val="24"/>
              </w:rPr>
            </w:pPr>
            <w:r>
              <w:rPr>
                <w:rFonts w:ascii="Calibri" w:hAnsi="Calibri"/>
                <w:sz w:val="24"/>
                <w:szCs w:val="24"/>
              </w:rPr>
              <w:t>3.3</w:t>
            </w:r>
          </w:p>
        </w:tc>
        <w:tc>
          <w:tcPr>
            <w:tcW w:w="8567" w:type="dxa"/>
            <w:tcBorders>
              <w:left w:val="single" w:sz="4" w:space="0" w:color="auto"/>
            </w:tcBorders>
          </w:tcPr>
          <w:p w14:paraId="6EE2B8B4" w14:textId="77777777" w:rsidR="00687C6F" w:rsidRDefault="00F62815" w:rsidP="00F62815">
            <w:pPr>
              <w:spacing w:line="360" w:lineRule="auto"/>
              <w:jc w:val="both"/>
              <w:rPr>
                <w:rFonts w:ascii="Calibri" w:hAnsi="Calibri" w:cs="Arial"/>
                <w:sz w:val="24"/>
                <w:szCs w:val="24"/>
                <w:lang w:eastAsia="en-GB"/>
              </w:rPr>
            </w:pPr>
            <w:r>
              <w:rPr>
                <w:rFonts w:ascii="Calibri" w:hAnsi="Calibri" w:cs="Arial"/>
                <w:sz w:val="24"/>
                <w:szCs w:val="24"/>
                <w:lang w:eastAsia="en-GB"/>
              </w:rPr>
              <w:t>The Board will oversee and monitor expenditure against budget</w:t>
            </w:r>
            <w:r w:rsidR="00F41F82">
              <w:rPr>
                <w:rFonts w:ascii="Calibri" w:hAnsi="Calibri" w:cs="Arial"/>
                <w:sz w:val="24"/>
                <w:szCs w:val="24"/>
                <w:lang w:eastAsia="en-GB"/>
              </w:rPr>
              <w:t xml:space="preserve"> on a monthly basis</w:t>
            </w:r>
          </w:p>
          <w:p w14:paraId="6EE2B8B5" w14:textId="77777777" w:rsidR="00F62815" w:rsidRDefault="00F62815" w:rsidP="00F62815">
            <w:pPr>
              <w:spacing w:line="360" w:lineRule="auto"/>
              <w:jc w:val="both"/>
              <w:rPr>
                <w:rFonts w:ascii="Calibri" w:hAnsi="Calibri" w:cs="Arial"/>
                <w:sz w:val="24"/>
                <w:szCs w:val="24"/>
                <w:lang w:eastAsia="en-GB"/>
              </w:rPr>
            </w:pPr>
          </w:p>
          <w:p w14:paraId="6EE2B8B6" w14:textId="77777777" w:rsidR="00F62815" w:rsidRDefault="00F62815" w:rsidP="00F62815">
            <w:pPr>
              <w:spacing w:line="360" w:lineRule="auto"/>
              <w:jc w:val="both"/>
              <w:rPr>
                <w:rFonts w:ascii="Calibri" w:hAnsi="Calibri" w:cs="Arial"/>
                <w:sz w:val="24"/>
                <w:szCs w:val="24"/>
                <w:lang w:eastAsia="en-GB"/>
              </w:rPr>
            </w:pPr>
            <w:r>
              <w:rPr>
                <w:rFonts w:ascii="Calibri" w:hAnsi="Calibri" w:cs="Arial"/>
                <w:sz w:val="24"/>
                <w:szCs w:val="24"/>
                <w:lang w:eastAsia="en-GB"/>
              </w:rPr>
              <w:t xml:space="preserve">The Board will ensure high cost placements have been given appropriate approval and ensure value for money is being achieved in these placements in relation to outcomes for those children in placement. </w:t>
            </w:r>
          </w:p>
          <w:p w14:paraId="6EE2B8B7" w14:textId="77777777" w:rsidR="00F62815" w:rsidRPr="00F62815" w:rsidRDefault="00F62815" w:rsidP="00F62815">
            <w:pPr>
              <w:spacing w:line="360" w:lineRule="auto"/>
              <w:jc w:val="both"/>
              <w:rPr>
                <w:rFonts w:ascii="Calibri" w:hAnsi="Calibri" w:cs="Arial"/>
                <w:sz w:val="24"/>
                <w:szCs w:val="24"/>
                <w:lang w:eastAsia="en-GB"/>
              </w:rPr>
            </w:pPr>
          </w:p>
        </w:tc>
      </w:tr>
      <w:tr w:rsidR="00687C6F" w:rsidRPr="00185436" w14:paraId="6EE2B8BB" w14:textId="77777777" w:rsidTr="00264A3C">
        <w:tc>
          <w:tcPr>
            <w:tcW w:w="675" w:type="dxa"/>
            <w:tcBorders>
              <w:right w:val="single" w:sz="4" w:space="0" w:color="auto"/>
            </w:tcBorders>
          </w:tcPr>
          <w:p w14:paraId="6EE2B8B9"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BA" w14:textId="77777777" w:rsidR="00366827" w:rsidRPr="00185436" w:rsidRDefault="00366827" w:rsidP="00264A3C">
            <w:pPr>
              <w:spacing w:line="360" w:lineRule="auto"/>
              <w:rPr>
                <w:rFonts w:ascii="Calibri" w:hAnsi="Calibri"/>
              </w:rPr>
            </w:pPr>
          </w:p>
        </w:tc>
      </w:tr>
      <w:tr w:rsidR="00687C6F" w:rsidRPr="00185436" w14:paraId="6EE2B8BE" w14:textId="77777777" w:rsidTr="00264A3C">
        <w:tc>
          <w:tcPr>
            <w:tcW w:w="675" w:type="dxa"/>
            <w:tcBorders>
              <w:right w:val="single" w:sz="4" w:space="0" w:color="auto"/>
            </w:tcBorders>
          </w:tcPr>
          <w:p w14:paraId="6EE2B8BC" w14:textId="77777777" w:rsidR="00687C6F" w:rsidRPr="00185436" w:rsidRDefault="00C03FAE" w:rsidP="00264A3C">
            <w:pPr>
              <w:spacing w:line="360" w:lineRule="auto"/>
              <w:rPr>
                <w:rFonts w:ascii="Calibri" w:hAnsi="Calibri"/>
                <w:b/>
                <w:sz w:val="24"/>
                <w:szCs w:val="24"/>
              </w:rPr>
            </w:pPr>
            <w:r w:rsidRPr="00185436">
              <w:rPr>
                <w:rFonts w:ascii="Calibri" w:hAnsi="Calibri"/>
                <w:b/>
                <w:sz w:val="24"/>
                <w:szCs w:val="24"/>
              </w:rPr>
              <w:t>4</w:t>
            </w:r>
          </w:p>
        </w:tc>
        <w:tc>
          <w:tcPr>
            <w:tcW w:w="8567" w:type="dxa"/>
            <w:tcBorders>
              <w:left w:val="single" w:sz="4" w:space="0" w:color="auto"/>
            </w:tcBorders>
          </w:tcPr>
          <w:p w14:paraId="6EE2B8BD" w14:textId="77777777" w:rsidR="00687C6F" w:rsidRPr="00185436" w:rsidRDefault="00687C6F" w:rsidP="00264A3C">
            <w:pPr>
              <w:spacing w:line="360" w:lineRule="auto"/>
              <w:rPr>
                <w:rFonts w:ascii="Calibri" w:hAnsi="Calibri"/>
              </w:rPr>
            </w:pPr>
            <w:r w:rsidRPr="00185436">
              <w:rPr>
                <w:rFonts w:ascii="Calibri" w:eastAsia="Times New Roman" w:hAnsi="Calibri" w:cs="Tahoma"/>
                <w:b/>
                <w:color w:val="000000"/>
                <w:sz w:val="24"/>
                <w:szCs w:val="24"/>
              </w:rPr>
              <w:t>Accountability &amp; Governance</w:t>
            </w:r>
          </w:p>
        </w:tc>
      </w:tr>
      <w:tr w:rsidR="00687C6F" w:rsidRPr="00185436" w14:paraId="6EE2B8C1" w14:textId="77777777" w:rsidTr="00264A3C">
        <w:tc>
          <w:tcPr>
            <w:tcW w:w="675" w:type="dxa"/>
            <w:tcBorders>
              <w:right w:val="single" w:sz="4" w:space="0" w:color="auto"/>
            </w:tcBorders>
          </w:tcPr>
          <w:p w14:paraId="6EE2B8BF"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C0" w14:textId="77777777" w:rsidR="00687C6F" w:rsidRPr="00185436" w:rsidRDefault="00687C6F" w:rsidP="00264A3C">
            <w:pPr>
              <w:spacing w:line="360" w:lineRule="auto"/>
              <w:rPr>
                <w:rFonts w:ascii="Calibri" w:hAnsi="Calibri"/>
              </w:rPr>
            </w:pPr>
          </w:p>
        </w:tc>
      </w:tr>
      <w:tr w:rsidR="00687C6F" w:rsidRPr="00185436" w14:paraId="6EE2B8C8" w14:textId="77777777" w:rsidTr="00264A3C">
        <w:tc>
          <w:tcPr>
            <w:tcW w:w="675" w:type="dxa"/>
            <w:tcBorders>
              <w:right w:val="single" w:sz="4" w:space="0" w:color="auto"/>
            </w:tcBorders>
          </w:tcPr>
          <w:p w14:paraId="6EE2B8C2" w14:textId="77777777" w:rsidR="00687C6F" w:rsidRDefault="00C03FAE" w:rsidP="00264A3C">
            <w:pPr>
              <w:spacing w:line="360" w:lineRule="auto"/>
              <w:rPr>
                <w:rFonts w:ascii="Calibri" w:hAnsi="Calibri"/>
                <w:sz w:val="24"/>
                <w:szCs w:val="24"/>
              </w:rPr>
            </w:pPr>
            <w:r w:rsidRPr="00185436">
              <w:rPr>
                <w:rFonts w:ascii="Calibri" w:hAnsi="Calibri"/>
                <w:sz w:val="24"/>
                <w:szCs w:val="24"/>
              </w:rPr>
              <w:t>4.1</w:t>
            </w:r>
          </w:p>
          <w:p w14:paraId="6EE2B8C3" w14:textId="77777777" w:rsidR="00F62815" w:rsidRDefault="00F62815" w:rsidP="00264A3C">
            <w:pPr>
              <w:spacing w:line="360" w:lineRule="auto"/>
              <w:rPr>
                <w:rFonts w:ascii="Calibri" w:hAnsi="Calibri"/>
                <w:sz w:val="24"/>
                <w:szCs w:val="24"/>
              </w:rPr>
            </w:pPr>
          </w:p>
          <w:p w14:paraId="6EE2B8C4" w14:textId="77777777" w:rsidR="00F62815" w:rsidRPr="00185436" w:rsidRDefault="00F62815" w:rsidP="00264A3C">
            <w:pPr>
              <w:spacing w:line="360" w:lineRule="auto"/>
              <w:rPr>
                <w:rFonts w:ascii="Calibri" w:hAnsi="Calibri"/>
                <w:sz w:val="24"/>
                <w:szCs w:val="24"/>
              </w:rPr>
            </w:pPr>
            <w:r>
              <w:rPr>
                <w:rFonts w:ascii="Calibri" w:hAnsi="Calibri"/>
                <w:sz w:val="24"/>
                <w:szCs w:val="24"/>
              </w:rPr>
              <w:t>4.2</w:t>
            </w:r>
          </w:p>
        </w:tc>
        <w:tc>
          <w:tcPr>
            <w:tcW w:w="8567" w:type="dxa"/>
            <w:tcBorders>
              <w:left w:val="single" w:sz="4" w:space="0" w:color="auto"/>
            </w:tcBorders>
          </w:tcPr>
          <w:p w14:paraId="6EE2B8C5" w14:textId="77777777" w:rsidR="00F62815" w:rsidRDefault="00687C6F" w:rsidP="00F62815">
            <w:pPr>
              <w:spacing w:line="360" w:lineRule="auto"/>
              <w:jc w:val="both"/>
              <w:rPr>
                <w:rFonts w:ascii="Calibri" w:eastAsia="Times New Roman" w:hAnsi="Calibri" w:cs="Tahoma"/>
                <w:color w:val="000000"/>
                <w:sz w:val="24"/>
                <w:szCs w:val="24"/>
              </w:rPr>
            </w:pPr>
            <w:r w:rsidRPr="00185436">
              <w:rPr>
                <w:rFonts w:ascii="Calibri" w:eastAsia="Times New Roman" w:hAnsi="Calibri" w:cs="Tahoma"/>
                <w:color w:val="000000"/>
                <w:sz w:val="24"/>
                <w:szCs w:val="24"/>
              </w:rPr>
              <w:t xml:space="preserve">The </w:t>
            </w:r>
            <w:r w:rsidR="00F62815">
              <w:rPr>
                <w:rFonts w:ascii="Calibri" w:eastAsia="Times New Roman" w:hAnsi="Calibri" w:cs="Tahoma"/>
                <w:color w:val="000000"/>
                <w:sz w:val="24"/>
                <w:szCs w:val="24"/>
              </w:rPr>
              <w:t xml:space="preserve">Board will be chaired by the </w:t>
            </w:r>
            <w:r w:rsidR="00E90573">
              <w:rPr>
                <w:rFonts w:ascii="Calibri" w:eastAsia="Times New Roman" w:hAnsi="Calibri" w:cs="Tahoma"/>
                <w:color w:val="000000"/>
                <w:sz w:val="24"/>
                <w:szCs w:val="24"/>
              </w:rPr>
              <w:t>Service</w:t>
            </w:r>
            <w:r w:rsidR="00F62815">
              <w:rPr>
                <w:rFonts w:ascii="Calibri" w:eastAsia="Times New Roman" w:hAnsi="Calibri" w:cs="Tahoma"/>
                <w:color w:val="000000"/>
                <w:sz w:val="24"/>
                <w:szCs w:val="24"/>
              </w:rPr>
              <w:t xml:space="preserve"> Director, Children’s Social Care. </w:t>
            </w:r>
          </w:p>
          <w:p w14:paraId="6EE2B8C6" w14:textId="77777777" w:rsidR="00F62815" w:rsidRDefault="00F62815" w:rsidP="00F62815">
            <w:pPr>
              <w:spacing w:line="360" w:lineRule="auto"/>
              <w:jc w:val="both"/>
              <w:rPr>
                <w:rFonts w:ascii="Calibri" w:eastAsia="Times New Roman" w:hAnsi="Calibri" w:cs="Tahoma"/>
                <w:color w:val="000000"/>
                <w:sz w:val="24"/>
                <w:szCs w:val="24"/>
              </w:rPr>
            </w:pPr>
          </w:p>
          <w:p w14:paraId="6EE2B8C7" w14:textId="788D24EB" w:rsidR="00687C6F" w:rsidRPr="00185436" w:rsidRDefault="00423264" w:rsidP="00905E58">
            <w:pPr>
              <w:spacing w:line="360" w:lineRule="auto"/>
              <w:jc w:val="both"/>
              <w:rPr>
                <w:rFonts w:ascii="Calibri" w:eastAsia="Times New Roman" w:hAnsi="Calibri" w:cs="Tahoma"/>
                <w:color w:val="000000"/>
                <w:sz w:val="24"/>
                <w:szCs w:val="24"/>
              </w:rPr>
            </w:pPr>
            <w:r>
              <w:rPr>
                <w:rFonts w:ascii="Calibri" w:eastAsia="Times New Roman" w:hAnsi="Calibri" w:cs="Tahoma"/>
                <w:color w:val="000000"/>
                <w:sz w:val="24"/>
                <w:szCs w:val="24"/>
              </w:rPr>
              <w:t>Updates</w:t>
            </w:r>
            <w:r w:rsidR="00760DCD">
              <w:rPr>
                <w:rFonts w:ascii="Calibri" w:eastAsia="Times New Roman" w:hAnsi="Calibri" w:cs="Tahoma"/>
                <w:color w:val="000000"/>
                <w:sz w:val="24"/>
                <w:szCs w:val="24"/>
              </w:rPr>
              <w:t xml:space="preserve"> against the action plan</w:t>
            </w:r>
            <w:r>
              <w:rPr>
                <w:rFonts w:ascii="Calibri" w:eastAsia="Times New Roman" w:hAnsi="Calibri" w:cs="Tahoma"/>
                <w:color w:val="000000"/>
                <w:sz w:val="24"/>
                <w:szCs w:val="24"/>
              </w:rPr>
              <w:t xml:space="preserve">  will be </w:t>
            </w:r>
            <w:r w:rsidR="00F62815">
              <w:rPr>
                <w:rFonts w:ascii="Calibri" w:eastAsia="Times New Roman" w:hAnsi="Calibri" w:cs="Tahoma"/>
                <w:color w:val="000000"/>
                <w:sz w:val="24"/>
                <w:szCs w:val="24"/>
              </w:rPr>
              <w:t xml:space="preserve"> </w:t>
            </w:r>
            <w:r>
              <w:rPr>
                <w:rFonts w:ascii="Calibri" w:eastAsia="Times New Roman" w:hAnsi="Calibri" w:cs="Tahoma"/>
                <w:color w:val="000000"/>
                <w:sz w:val="24"/>
                <w:szCs w:val="24"/>
              </w:rPr>
              <w:t xml:space="preserve">provided </w:t>
            </w:r>
            <w:r w:rsidR="00905E58">
              <w:rPr>
                <w:rFonts w:ascii="Calibri" w:eastAsia="Times New Roman" w:hAnsi="Calibri" w:cs="Tahoma"/>
                <w:color w:val="000000"/>
                <w:sz w:val="24"/>
                <w:szCs w:val="24"/>
              </w:rPr>
              <w:t xml:space="preserve">by the Head of Service Children’s Social Care and Lead Commissioning officer will be presented to the Placement Sufficiency Board to detail progress against the Key Performance Indicators outlined in the Placement Sufficiency Strategy. </w:t>
            </w:r>
            <w:r w:rsidR="00687C6F" w:rsidRPr="00185436">
              <w:rPr>
                <w:rFonts w:ascii="Calibri" w:eastAsia="Times New Roman" w:hAnsi="Calibri" w:cs="Tahoma"/>
                <w:color w:val="000000"/>
                <w:sz w:val="24"/>
                <w:szCs w:val="24"/>
              </w:rPr>
              <w:t xml:space="preserve"> </w:t>
            </w:r>
          </w:p>
        </w:tc>
      </w:tr>
      <w:tr w:rsidR="00687C6F" w:rsidRPr="00185436" w14:paraId="6EE2B8CB" w14:textId="77777777" w:rsidTr="00264A3C">
        <w:tc>
          <w:tcPr>
            <w:tcW w:w="675" w:type="dxa"/>
            <w:tcBorders>
              <w:right w:val="single" w:sz="4" w:space="0" w:color="auto"/>
            </w:tcBorders>
          </w:tcPr>
          <w:p w14:paraId="6EE2B8C9"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CA" w14:textId="77777777" w:rsidR="00687C6F" w:rsidRPr="00185436" w:rsidRDefault="00687C6F" w:rsidP="00264A3C">
            <w:pPr>
              <w:spacing w:line="360" w:lineRule="auto"/>
              <w:rPr>
                <w:rFonts w:ascii="Calibri" w:hAnsi="Calibri"/>
              </w:rPr>
            </w:pPr>
          </w:p>
        </w:tc>
      </w:tr>
      <w:tr w:rsidR="00687C6F" w:rsidRPr="00185436" w14:paraId="6EE2B8CE" w14:textId="77777777" w:rsidTr="00264A3C">
        <w:tc>
          <w:tcPr>
            <w:tcW w:w="675" w:type="dxa"/>
            <w:tcBorders>
              <w:right w:val="single" w:sz="4" w:space="0" w:color="auto"/>
            </w:tcBorders>
          </w:tcPr>
          <w:p w14:paraId="6EE2B8CC" w14:textId="77777777" w:rsidR="00687C6F" w:rsidRPr="00185436" w:rsidRDefault="00C03FAE" w:rsidP="00264A3C">
            <w:pPr>
              <w:spacing w:line="360" w:lineRule="auto"/>
              <w:rPr>
                <w:rFonts w:ascii="Calibri" w:hAnsi="Calibri"/>
                <w:b/>
                <w:sz w:val="24"/>
                <w:szCs w:val="24"/>
              </w:rPr>
            </w:pPr>
            <w:r w:rsidRPr="00185436">
              <w:rPr>
                <w:rFonts w:ascii="Calibri" w:hAnsi="Calibri"/>
                <w:b/>
                <w:sz w:val="24"/>
                <w:szCs w:val="24"/>
              </w:rPr>
              <w:t>5</w:t>
            </w:r>
          </w:p>
        </w:tc>
        <w:tc>
          <w:tcPr>
            <w:tcW w:w="8567" w:type="dxa"/>
            <w:tcBorders>
              <w:left w:val="single" w:sz="4" w:space="0" w:color="auto"/>
            </w:tcBorders>
          </w:tcPr>
          <w:p w14:paraId="6EE2B8CD" w14:textId="77777777" w:rsidR="00687C6F" w:rsidRPr="00185436" w:rsidRDefault="00687C6F" w:rsidP="00264A3C">
            <w:pPr>
              <w:spacing w:line="360" w:lineRule="auto"/>
              <w:rPr>
                <w:rFonts w:ascii="Calibri" w:hAnsi="Calibri"/>
              </w:rPr>
            </w:pPr>
            <w:r w:rsidRPr="00185436">
              <w:rPr>
                <w:rFonts w:ascii="Calibri" w:eastAsia="Times New Roman" w:hAnsi="Calibri" w:cs="Tahoma"/>
                <w:b/>
                <w:color w:val="000000"/>
                <w:sz w:val="24"/>
                <w:szCs w:val="24"/>
              </w:rPr>
              <w:t>Membership</w:t>
            </w:r>
          </w:p>
        </w:tc>
      </w:tr>
      <w:tr w:rsidR="00687C6F" w:rsidRPr="00185436" w14:paraId="6EE2B8D1" w14:textId="77777777" w:rsidTr="00264A3C">
        <w:tc>
          <w:tcPr>
            <w:tcW w:w="675" w:type="dxa"/>
            <w:tcBorders>
              <w:right w:val="single" w:sz="4" w:space="0" w:color="auto"/>
            </w:tcBorders>
          </w:tcPr>
          <w:p w14:paraId="6EE2B8CF"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D0" w14:textId="77777777" w:rsidR="00687C6F" w:rsidRPr="00185436" w:rsidRDefault="00687C6F" w:rsidP="00264A3C">
            <w:pPr>
              <w:spacing w:line="360" w:lineRule="auto"/>
              <w:rPr>
                <w:rFonts w:ascii="Calibri" w:hAnsi="Calibri"/>
              </w:rPr>
            </w:pPr>
          </w:p>
        </w:tc>
      </w:tr>
      <w:tr w:rsidR="00687C6F" w:rsidRPr="00185436" w14:paraId="6EE2B8D9" w14:textId="77777777" w:rsidTr="00264A3C">
        <w:tc>
          <w:tcPr>
            <w:tcW w:w="675" w:type="dxa"/>
            <w:tcBorders>
              <w:right w:val="single" w:sz="4" w:space="0" w:color="auto"/>
            </w:tcBorders>
          </w:tcPr>
          <w:p w14:paraId="6EE2B8D2" w14:textId="77777777" w:rsidR="00687C6F" w:rsidRPr="00185436" w:rsidRDefault="00C03FAE" w:rsidP="00264A3C">
            <w:pPr>
              <w:spacing w:line="360" w:lineRule="auto"/>
              <w:rPr>
                <w:rFonts w:ascii="Calibri" w:hAnsi="Calibri"/>
                <w:sz w:val="24"/>
                <w:szCs w:val="24"/>
              </w:rPr>
            </w:pPr>
            <w:r w:rsidRPr="00185436">
              <w:rPr>
                <w:rFonts w:ascii="Calibri" w:hAnsi="Calibri"/>
                <w:sz w:val="24"/>
                <w:szCs w:val="24"/>
              </w:rPr>
              <w:t>5.1</w:t>
            </w:r>
          </w:p>
        </w:tc>
        <w:tc>
          <w:tcPr>
            <w:tcW w:w="8567" w:type="dxa"/>
            <w:tcBorders>
              <w:left w:val="single" w:sz="4" w:space="0" w:color="auto"/>
            </w:tcBorders>
          </w:tcPr>
          <w:p w14:paraId="6EE2B8D3" w14:textId="77777777" w:rsidR="00687C6F" w:rsidRPr="00DD377B" w:rsidRDefault="00687C6F" w:rsidP="00264A3C">
            <w:pPr>
              <w:spacing w:line="360" w:lineRule="auto"/>
              <w:jc w:val="both"/>
              <w:rPr>
                <w:rFonts w:ascii="Calibri" w:eastAsia="Times New Roman" w:hAnsi="Calibri" w:cs="Tahoma"/>
                <w:sz w:val="24"/>
                <w:szCs w:val="24"/>
              </w:rPr>
            </w:pPr>
            <w:r w:rsidRPr="00185436">
              <w:rPr>
                <w:rFonts w:ascii="Calibri" w:eastAsia="Times New Roman" w:hAnsi="Calibri" w:cs="Tahoma"/>
                <w:color w:val="000000"/>
                <w:sz w:val="24"/>
                <w:szCs w:val="24"/>
              </w:rPr>
              <w:t xml:space="preserve">The </w:t>
            </w:r>
            <w:r w:rsidR="00F62815">
              <w:rPr>
                <w:rFonts w:ascii="Calibri" w:eastAsia="Times New Roman" w:hAnsi="Calibri" w:cs="Tahoma"/>
                <w:sz w:val="24"/>
                <w:szCs w:val="24"/>
              </w:rPr>
              <w:t>Board</w:t>
            </w:r>
            <w:r w:rsidRPr="00DD377B">
              <w:rPr>
                <w:rFonts w:ascii="Calibri" w:eastAsia="Times New Roman" w:hAnsi="Calibri" w:cs="Tahoma"/>
                <w:sz w:val="24"/>
                <w:szCs w:val="24"/>
              </w:rPr>
              <w:t xml:space="preserve"> will comprise of the following; </w:t>
            </w:r>
          </w:p>
          <w:p w14:paraId="6EE2B8D4" w14:textId="77777777" w:rsidR="00F62815" w:rsidRDefault="00E90573" w:rsidP="00264A3C">
            <w:pPr>
              <w:pStyle w:val="ListParagraph"/>
              <w:numPr>
                <w:ilvl w:val="0"/>
                <w:numId w:val="8"/>
              </w:numPr>
              <w:spacing w:line="360" w:lineRule="auto"/>
              <w:jc w:val="both"/>
              <w:rPr>
                <w:rFonts w:ascii="Calibri" w:eastAsia="Times New Roman" w:hAnsi="Calibri" w:cs="Tahoma"/>
                <w:sz w:val="24"/>
                <w:szCs w:val="24"/>
              </w:rPr>
            </w:pPr>
            <w:r>
              <w:rPr>
                <w:rFonts w:ascii="Calibri" w:eastAsia="Times New Roman" w:hAnsi="Calibri" w:cs="Tahoma"/>
                <w:sz w:val="24"/>
                <w:szCs w:val="24"/>
              </w:rPr>
              <w:t>Service</w:t>
            </w:r>
            <w:r w:rsidR="00F62815" w:rsidRPr="00F62815">
              <w:rPr>
                <w:rFonts w:ascii="Calibri" w:eastAsia="Times New Roman" w:hAnsi="Calibri" w:cs="Tahoma"/>
                <w:sz w:val="24"/>
                <w:szCs w:val="24"/>
              </w:rPr>
              <w:t xml:space="preserve"> Director</w:t>
            </w:r>
            <w:r w:rsidR="00F62815">
              <w:rPr>
                <w:rFonts w:ascii="Calibri" w:eastAsia="Times New Roman" w:hAnsi="Calibri" w:cs="Tahoma"/>
                <w:sz w:val="24"/>
                <w:szCs w:val="24"/>
              </w:rPr>
              <w:t>, Children’s Social Care</w:t>
            </w:r>
          </w:p>
          <w:p w14:paraId="6EE2B8D5" w14:textId="77777777" w:rsidR="00687C6F" w:rsidRPr="00F62815" w:rsidRDefault="00F62815" w:rsidP="00264A3C">
            <w:pPr>
              <w:pStyle w:val="ListParagraph"/>
              <w:numPr>
                <w:ilvl w:val="0"/>
                <w:numId w:val="8"/>
              </w:numPr>
              <w:spacing w:line="360" w:lineRule="auto"/>
              <w:jc w:val="both"/>
              <w:rPr>
                <w:rFonts w:ascii="Calibri" w:eastAsia="Times New Roman" w:hAnsi="Calibri" w:cs="Tahoma"/>
                <w:sz w:val="24"/>
                <w:szCs w:val="24"/>
              </w:rPr>
            </w:pPr>
            <w:r w:rsidRPr="00F62815">
              <w:rPr>
                <w:rFonts w:ascii="Calibri" w:eastAsia="Times New Roman" w:hAnsi="Calibri" w:cs="Tahoma"/>
                <w:sz w:val="24"/>
                <w:szCs w:val="24"/>
              </w:rPr>
              <w:t>Head of Service</w:t>
            </w:r>
            <w:r w:rsidR="00687C6F" w:rsidRPr="00F62815">
              <w:rPr>
                <w:rFonts w:ascii="Calibri" w:eastAsia="Times New Roman" w:hAnsi="Calibri" w:cs="Tahoma"/>
                <w:sz w:val="24"/>
                <w:szCs w:val="24"/>
              </w:rPr>
              <w:t>, Children in Care</w:t>
            </w:r>
          </w:p>
          <w:p w14:paraId="6EE2B8D6" w14:textId="77777777" w:rsidR="00491056" w:rsidRPr="00DD377B" w:rsidRDefault="00F62815" w:rsidP="00264A3C">
            <w:pPr>
              <w:pStyle w:val="ListParagraph"/>
              <w:numPr>
                <w:ilvl w:val="0"/>
                <w:numId w:val="8"/>
              </w:numPr>
              <w:spacing w:line="360" w:lineRule="auto"/>
              <w:jc w:val="both"/>
              <w:rPr>
                <w:rFonts w:ascii="Calibri" w:eastAsia="Times New Roman" w:hAnsi="Calibri" w:cs="Tahoma"/>
                <w:sz w:val="24"/>
                <w:szCs w:val="24"/>
              </w:rPr>
            </w:pPr>
            <w:r>
              <w:rPr>
                <w:rFonts w:ascii="Calibri" w:eastAsia="Times New Roman" w:hAnsi="Calibri" w:cs="Tahoma"/>
                <w:sz w:val="24"/>
                <w:szCs w:val="24"/>
              </w:rPr>
              <w:t>Strategic Finance Manager</w:t>
            </w:r>
            <w:r w:rsidR="00491056" w:rsidRPr="00DD377B">
              <w:rPr>
                <w:rFonts w:ascii="Calibri" w:eastAsia="Times New Roman" w:hAnsi="Calibri" w:cs="Tahoma"/>
                <w:sz w:val="24"/>
                <w:szCs w:val="24"/>
              </w:rPr>
              <w:t xml:space="preserve">, </w:t>
            </w:r>
            <w:r>
              <w:rPr>
                <w:rFonts w:ascii="Calibri" w:eastAsia="Times New Roman" w:hAnsi="Calibri" w:cs="Tahoma"/>
                <w:sz w:val="24"/>
                <w:szCs w:val="24"/>
              </w:rPr>
              <w:t>Finance</w:t>
            </w:r>
          </w:p>
          <w:p w14:paraId="6EE2B8D7" w14:textId="77777777" w:rsidR="00F62815" w:rsidRDefault="00F62815" w:rsidP="00264A3C">
            <w:pPr>
              <w:pStyle w:val="ListParagraph"/>
              <w:numPr>
                <w:ilvl w:val="0"/>
                <w:numId w:val="8"/>
              </w:numPr>
              <w:spacing w:line="360" w:lineRule="auto"/>
              <w:jc w:val="both"/>
              <w:rPr>
                <w:rFonts w:ascii="Calibri" w:eastAsia="Times New Roman" w:hAnsi="Calibri" w:cs="Tahoma"/>
                <w:sz w:val="24"/>
                <w:szCs w:val="24"/>
              </w:rPr>
            </w:pPr>
            <w:r>
              <w:rPr>
                <w:rFonts w:ascii="Calibri" w:eastAsia="Times New Roman" w:hAnsi="Calibri" w:cs="Tahoma"/>
                <w:sz w:val="24"/>
                <w:szCs w:val="24"/>
              </w:rPr>
              <w:t>Head of Service, Commissioning, Governance and Partnerships</w:t>
            </w:r>
          </w:p>
          <w:p w14:paraId="6EE2B8D8" w14:textId="77777777" w:rsidR="00687C6F" w:rsidRPr="00F41F82" w:rsidRDefault="00F62815" w:rsidP="00F41F82">
            <w:pPr>
              <w:pStyle w:val="ListParagraph"/>
              <w:numPr>
                <w:ilvl w:val="0"/>
                <w:numId w:val="8"/>
              </w:numPr>
              <w:spacing w:line="360" w:lineRule="auto"/>
              <w:jc w:val="both"/>
              <w:rPr>
                <w:rFonts w:ascii="Calibri" w:eastAsia="Times New Roman" w:hAnsi="Calibri" w:cs="Tahoma"/>
                <w:sz w:val="24"/>
                <w:szCs w:val="24"/>
              </w:rPr>
            </w:pPr>
            <w:r>
              <w:rPr>
                <w:rFonts w:ascii="Calibri" w:eastAsia="Times New Roman" w:hAnsi="Calibri" w:cs="Tahoma"/>
                <w:sz w:val="24"/>
                <w:szCs w:val="24"/>
              </w:rPr>
              <w:t>Lead Commissioning Officer, Commissioning, Governance and Partnerships</w:t>
            </w:r>
          </w:p>
        </w:tc>
      </w:tr>
      <w:tr w:rsidR="00687C6F" w:rsidRPr="00185436" w14:paraId="6EE2B8DC" w14:textId="77777777" w:rsidTr="00264A3C">
        <w:tc>
          <w:tcPr>
            <w:tcW w:w="675" w:type="dxa"/>
            <w:tcBorders>
              <w:right w:val="single" w:sz="4" w:space="0" w:color="auto"/>
            </w:tcBorders>
          </w:tcPr>
          <w:p w14:paraId="6EE2B8DA"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DB" w14:textId="77777777" w:rsidR="00687C6F" w:rsidRPr="00185436" w:rsidRDefault="00687C6F" w:rsidP="00264A3C">
            <w:pPr>
              <w:spacing w:line="360" w:lineRule="auto"/>
              <w:rPr>
                <w:rFonts w:ascii="Calibri" w:hAnsi="Calibri"/>
              </w:rPr>
            </w:pPr>
          </w:p>
        </w:tc>
      </w:tr>
      <w:tr w:rsidR="00687C6F" w:rsidRPr="00185436" w14:paraId="6EE2B8DF" w14:textId="77777777" w:rsidTr="00264A3C">
        <w:tc>
          <w:tcPr>
            <w:tcW w:w="675" w:type="dxa"/>
            <w:tcBorders>
              <w:right w:val="single" w:sz="4" w:space="0" w:color="auto"/>
            </w:tcBorders>
          </w:tcPr>
          <w:p w14:paraId="6EE2B8DD" w14:textId="77777777" w:rsidR="00687C6F" w:rsidRPr="00185436" w:rsidRDefault="00C03FAE" w:rsidP="00264A3C">
            <w:pPr>
              <w:spacing w:line="360" w:lineRule="auto"/>
              <w:rPr>
                <w:rFonts w:ascii="Calibri" w:hAnsi="Calibri"/>
                <w:sz w:val="24"/>
                <w:szCs w:val="24"/>
              </w:rPr>
            </w:pPr>
            <w:r w:rsidRPr="00185436">
              <w:rPr>
                <w:rFonts w:ascii="Calibri" w:hAnsi="Calibri"/>
                <w:sz w:val="24"/>
                <w:szCs w:val="24"/>
              </w:rPr>
              <w:t>5.2</w:t>
            </w:r>
          </w:p>
        </w:tc>
        <w:tc>
          <w:tcPr>
            <w:tcW w:w="8567" w:type="dxa"/>
            <w:tcBorders>
              <w:left w:val="single" w:sz="4" w:space="0" w:color="auto"/>
            </w:tcBorders>
          </w:tcPr>
          <w:p w14:paraId="6EE2B8DE" w14:textId="77777777" w:rsidR="00687C6F" w:rsidRPr="00185436" w:rsidRDefault="003D7178" w:rsidP="00420141">
            <w:pPr>
              <w:widowControl w:val="0"/>
              <w:tabs>
                <w:tab w:val="left" w:pos="851"/>
              </w:tabs>
              <w:spacing w:before="60" w:line="360" w:lineRule="auto"/>
              <w:jc w:val="both"/>
              <w:rPr>
                <w:rFonts w:ascii="Calibri" w:hAnsi="Calibri" w:cs="Arial"/>
                <w:sz w:val="24"/>
                <w:szCs w:val="24"/>
              </w:rPr>
            </w:pPr>
            <w:r>
              <w:rPr>
                <w:rFonts w:ascii="Calibri" w:hAnsi="Calibri" w:cs="Arial"/>
                <w:sz w:val="24"/>
                <w:szCs w:val="24"/>
              </w:rPr>
              <w:t xml:space="preserve">Other managers </w:t>
            </w:r>
            <w:r w:rsidR="00687C6F" w:rsidRPr="00185436">
              <w:rPr>
                <w:rFonts w:ascii="Calibri" w:hAnsi="Calibri" w:cs="Arial"/>
                <w:sz w:val="24"/>
                <w:szCs w:val="24"/>
              </w:rPr>
              <w:t xml:space="preserve">will be invited to attend as required in order to discuss </w:t>
            </w:r>
            <w:r w:rsidR="00420141">
              <w:rPr>
                <w:rFonts w:ascii="Calibri" w:hAnsi="Calibri" w:cs="Arial"/>
                <w:sz w:val="24"/>
                <w:szCs w:val="24"/>
              </w:rPr>
              <w:t xml:space="preserve">specific </w:t>
            </w:r>
            <w:r w:rsidR="00F41F82">
              <w:rPr>
                <w:rFonts w:ascii="Calibri" w:hAnsi="Calibri" w:cs="Arial"/>
                <w:sz w:val="24"/>
                <w:szCs w:val="24"/>
              </w:rPr>
              <w:t xml:space="preserve">items </w:t>
            </w:r>
            <w:r w:rsidR="00F41F82" w:rsidRPr="00185436">
              <w:rPr>
                <w:rFonts w:ascii="Calibri" w:hAnsi="Calibri" w:cs="Arial"/>
                <w:sz w:val="24"/>
                <w:szCs w:val="24"/>
              </w:rPr>
              <w:t>being</w:t>
            </w:r>
            <w:r w:rsidR="00687C6F" w:rsidRPr="00185436">
              <w:rPr>
                <w:rFonts w:ascii="Calibri" w:hAnsi="Calibri" w:cs="Arial"/>
                <w:sz w:val="24"/>
                <w:szCs w:val="24"/>
              </w:rPr>
              <w:t xml:space="preserve"> considered.  </w:t>
            </w:r>
          </w:p>
        </w:tc>
      </w:tr>
      <w:tr w:rsidR="00687C6F" w:rsidRPr="00185436" w14:paraId="6EE2B8E2" w14:textId="77777777" w:rsidTr="00264A3C">
        <w:tc>
          <w:tcPr>
            <w:tcW w:w="675" w:type="dxa"/>
            <w:tcBorders>
              <w:right w:val="single" w:sz="4" w:space="0" w:color="auto"/>
            </w:tcBorders>
          </w:tcPr>
          <w:p w14:paraId="6EE2B8E0"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E1" w14:textId="77777777" w:rsidR="00161CE7" w:rsidRPr="00185436" w:rsidRDefault="00161CE7" w:rsidP="00264A3C">
            <w:pPr>
              <w:spacing w:line="360" w:lineRule="auto"/>
              <w:rPr>
                <w:rFonts w:ascii="Calibri" w:hAnsi="Calibri"/>
              </w:rPr>
            </w:pPr>
          </w:p>
        </w:tc>
      </w:tr>
      <w:tr w:rsidR="00687C6F" w:rsidRPr="00185436" w14:paraId="6EE2B8E5" w14:textId="77777777" w:rsidTr="00264A3C">
        <w:tc>
          <w:tcPr>
            <w:tcW w:w="675" w:type="dxa"/>
            <w:tcBorders>
              <w:right w:val="single" w:sz="4" w:space="0" w:color="auto"/>
            </w:tcBorders>
          </w:tcPr>
          <w:p w14:paraId="6EE2B8E3" w14:textId="77777777" w:rsidR="00687C6F" w:rsidRPr="00185436" w:rsidRDefault="00C03FAE" w:rsidP="00264A3C">
            <w:pPr>
              <w:spacing w:line="360" w:lineRule="auto"/>
              <w:rPr>
                <w:rFonts w:ascii="Calibri" w:hAnsi="Calibri"/>
                <w:b/>
                <w:sz w:val="24"/>
                <w:szCs w:val="24"/>
              </w:rPr>
            </w:pPr>
            <w:r w:rsidRPr="00185436">
              <w:rPr>
                <w:rFonts w:ascii="Calibri" w:hAnsi="Calibri"/>
                <w:b/>
                <w:sz w:val="24"/>
                <w:szCs w:val="24"/>
              </w:rPr>
              <w:t>6</w:t>
            </w:r>
          </w:p>
        </w:tc>
        <w:tc>
          <w:tcPr>
            <w:tcW w:w="8567" w:type="dxa"/>
            <w:tcBorders>
              <w:left w:val="single" w:sz="4" w:space="0" w:color="auto"/>
            </w:tcBorders>
          </w:tcPr>
          <w:p w14:paraId="6EE2B8E4" w14:textId="77777777" w:rsidR="00687C6F" w:rsidRPr="00185436" w:rsidRDefault="00687C6F" w:rsidP="00420141">
            <w:pPr>
              <w:spacing w:line="360" w:lineRule="auto"/>
              <w:rPr>
                <w:rFonts w:ascii="Calibri" w:hAnsi="Calibri"/>
              </w:rPr>
            </w:pPr>
            <w:r w:rsidRPr="00185436">
              <w:rPr>
                <w:rFonts w:ascii="Calibri" w:eastAsia="Times New Roman" w:hAnsi="Calibri" w:cs="Tahoma"/>
                <w:b/>
                <w:color w:val="000000"/>
                <w:sz w:val="24"/>
                <w:szCs w:val="24"/>
              </w:rPr>
              <w:t xml:space="preserve">Frequency of </w:t>
            </w:r>
            <w:r w:rsidR="00420141">
              <w:rPr>
                <w:rFonts w:ascii="Calibri" w:eastAsia="Times New Roman" w:hAnsi="Calibri" w:cs="Tahoma"/>
                <w:b/>
                <w:color w:val="000000"/>
                <w:sz w:val="24"/>
                <w:szCs w:val="24"/>
              </w:rPr>
              <w:t>Board</w:t>
            </w:r>
          </w:p>
        </w:tc>
      </w:tr>
      <w:tr w:rsidR="00687C6F" w:rsidRPr="00185436" w14:paraId="6EE2B8E8" w14:textId="77777777" w:rsidTr="00264A3C">
        <w:tc>
          <w:tcPr>
            <w:tcW w:w="675" w:type="dxa"/>
            <w:tcBorders>
              <w:right w:val="single" w:sz="4" w:space="0" w:color="auto"/>
            </w:tcBorders>
          </w:tcPr>
          <w:p w14:paraId="6EE2B8E6"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E7" w14:textId="77777777" w:rsidR="00687C6F" w:rsidRPr="00185436" w:rsidRDefault="00687C6F" w:rsidP="00264A3C">
            <w:pPr>
              <w:spacing w:line="360" w:lineRule="auto"/>
              <w:rPr>
                <w:rFonts w:ascii="Calibri" w:hAnsi="Calibri"/>
              </w:rPr>
            </w:pPr>
          </w:p>
        </w:tc>
      </w:tr>
      <w:tr w:rsidR="00687C6F" w:rsidRPr="00185436" w14:paraId="6EE2B8EB" w14:textId="77777777" w:rsidTr="00264A3C">
        <w:tc>
          <w:tcPr>
            <w:tcW w:w="675" w:type="dxa"/>
            <w:tcBorders>
              <w:right w:val="single" w:sz="4" w:space="0" w:color="auto"/>
            </w:tcBorders>
          </w:tcPr>
          <w:p w14:paraId="6EE2B8E9" w14:textId="77777777" w:rsidR="00687C6F" w:rsidRPr="00185436" w:rsidRDefault="00C03FAE" w:rsidP="00264A3C">
            <w:pPr>
              <w:spacing w:line="360" w:lineRule="auto"/>
              <w:rPr>
                <w:rFonts w:ascii="Calibri" w:hAnsi="Calibri"/>
                <w:sz w:val="24"/>
                <w:szCs w:val="24"/>
              </w:rPr>
            </w:pPr>
            <w:r w:rsidRPr="00185436">
              <w:rPr>
                <w:rFonts w:ascii="Calibri" w:hAnsi="Calibri"/>
                <w:sz w:val="24"/>
                <w:szCs w:val="24"/>
              </w:rPr>
              <w:t>6.1</w:t>
            </w:r>
          </w:p>
        </w:tc>
        <w:tc>
          <w:tcPr>
            <w:tcW w:w="8567" w:type="dxa"/>
            <w:tcBorders>
              <w:left w:val="single" w:sz="4" w:space="0" w:color="auto"/>
            </w:tcBorders>
          </w:tcPr>
          <w:p w14:paraId="6EE2B8EA" w14:textId="42CB0EC6" w:rsidR="00687C6F" w:rsidRPr="00185436" w:rsidRDefault="00687C6F" w:rsidP="00420141">
            <w:pPr>
              <w:spacing w:line="360" w:lineRule="auto"/>
              <w:rPr>
                <w:rFonts w:ascii="Calibri" w:hAnsi="Calibri"/>
              </w:rPr>
            </w:pPr>
            <w:r w:rsidRPr="00185436">
              <w:rPr>
                <w:rFonts w:ascii="Calibri" w:eastAsia="Times New Roman" w:hAnsi="Calibri" w:cs="Tahoma"/>
                <w:color w:val="000000"/>
                <w:sz w:val="24"/>
                <w:szCs w:val="24"/>
              </w:rPr>
              <w:t xml:space="preserve">The </w:t>
            </w:r>
            <w:r w:rsidR="00420141">
              <w:rPr>
                <w:rFonts w:ascii="Calibri" w:eastAsia="Times New Roman" w:hAnsi="Calibri" w:cs="Tahoma"/>
                <w:color w:val="000000"/>
                <w:sz w:val="24"/>
                <w:szCs w:val="24"/>
              </w:rPr>
              <w:t>Board</w:t>
            </w:r>
            <w:r w:rsidRPr="00185436">
              <w:rPr>
                <w:rFonts w:ascii="Calibri" w:eastAsia="Times New Roman" w:hAnsi="Calibri" w:cs="Tahoma"/>
                <w:color w:val="000000"/>
                <w:sz w:val="24"/>
                <w:szCs w:val="24"/>
              </w:rPr>
              <w:t xml:space="preserve"> will meet every </w:t>
            </w:r>
            <w:r w:rsidR="00420141">
              <w:rPr>
                <w:rFonts w:ascii="Calibri" w:eastAsia="Times New Roman" w:hAnsi="Calibri" w:cs="Tahoma"/>
                <w:color w:val="000000"/>
                <w:sz w:val="24"/>
                <w:szCs w:val="24"/>
              </w:rPr>
              <w:t>month</w:t>
            </w:r>
          </w:p>
        </w:tc>
      </w:tr>
      <w:tr w:rsidR="00687C6F" w:rsidRPr="00185436" w14:paraId="6EE2B8EE" w14:textId="77777777" w:rsidTr="00264A3C">
        <w:tc>
          <w:tcPr>
            <w:tcW w:w="675" w:type="dxa"/>
            <w:tcBorders>
              <w:right w:val="single" w:sz="4" w:space="0" w:color="auto"/>
            </w:tcBorders>
          </w:tcPr>
          <w:p w14:paraId="6EE2B8EC"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ED" w14:textId="77777777" w:rsidR="00687C6F" w:rsidRPr="00185436" w:rsidRDefault="00687C6F" w:rsidP="00264A3C">
            <w:pPr>
              <w:spacing w:line="360" w:lineRule="auto"/>
              <w:rPr>
                <w:rFonts w:ascii="Calibri" w:hAnsi="Calibri"/>
              </w:rPr>
            </w:pPr>
          </w:p>
        </w:tc>
      </w:tr>
      <w:tr w:rsidR="00687C6F" w:rsidRPr="00185436" w14:paraId="6EE2B8F1" w14:textId="77777777" w:rsidTr="00264A3C">
        <w:tc>
          <w:tcPr>
            <w:tcW w:w="675" w:type="dxa"/>
            <w:tcBorders>
              <w:right w:val="single" w:sz="4" w:space="0" w:color="auto"/>
            </w:tcBorders>
          </w:tcPr>
          <w:p w14:paraId="6EE2B8EF" w14:textId="77777777" w:rsidR="00687C6F" w:rsidRPr="00185436" w:rsidRDefault="00C03FAE" w:rsidP="00264A3C">
            <w:pPr>
              <w:spacing w:line="360" w:lineRule="auto"/>
              <w:rPr>
                <w:rFonts w:ascii="Calibri" w:hAnsi="Calibri"/>
                <w:b/>
                <w:sz w:val="24"/>
                <w:szCs w:val="24"/>
              </w:rPr>
            </w:pPr>
            <w:r w:rsidRPr="00185436">
              <w:rPr>
                <w:rFonts w:ascii="Calibri" w:hAnsi="Calibri"/>
                <w:b/>
                <w:sz w:val="24"/>
                <w:szCs w:val="24"/>
              </w:rPr>
              <w:t>7</w:t>
            </w:r>
          </w:p>
        </w:tc>
        <w:tc>
          <w:tcPr>
            <w:tcW w:w="8567" w:type="dxa"/>
            <w:tcBorders>
              <w:left w:val="single" w:sz="4" w:space="0" w:color="auto"/>
            </w:tcBorders>
          </w:tcPr>
          <w:p w14:paraId="6EE2B8F0" w14:textId="77777777" w:rsidR="00687C6F" w:rsidRPr="00185436" w:rsidRDefault="00F41F82" w:rsidP="00264A3C">
            <w:pPr>
              <w:spacing w:line="360" w:lineRule="auto"/>
              <w:jc w:val="both"/>
              <w:rPr>
                <w:rFonts w:ascii="Calibri" w:eastAsia="Times New Roman" w:hAnsi="Calibri" w:cs="Tahoma"/>
                <w:b/>
                <w:color w:val="000000"/>
                <w:sz w:val="24"/>
                <w:szCs w:val="24"/>
              </w:rPr>
            </w:pPr>
            <w:r>
              <w:rPr>
                <w:rFonts w:ascii="Calibri" w:eastAsia="Times New Roman" w:hAnsi="Calibri" w:cs="Tahoma"/>
                <w:b/>
                <w:color w:val="000000"/>
                <w:sz w:val="24"/>
                <w:szCs w:val="24"/>
              </w:rPr>
              <w:t>Standard Agenda</w:t>
            </w:r>
          </w:p>
        </w:tc>
      </w:tr>
      <w:tr w:rsidR="00687C6F" w:rsidRPr="00185436" w14:paraId="6EE2B8F4" w14:textId="77777777" w:rsidTr="00264A3C">
        <w:tc>
          <w:tcPr>
            <w:tcW w:w="675" w:type="dxa"/>
            <w:tcBorders>
              <w:right w:val="single" w:sz="4" w:space="0" w:color="auto"/>
            </w:tcBorders>
          </w:tcPr>
          <w:p w14:paraId="6EE2B8F2" w14:textId="77777777" w:rsidR="00687C6F" w:rsidRPr="00185436" w:rsidRDefault="00687C6F" w:rsidP="00264A3C">
            <w:pPr>
              <w:spacing w:line="360" w:lineRule="auto"/>
              <w:rPr>
                <w:rFonts w:ascii="Calibri" w:hAnsi="Calibri"/>
                <w:sz w:val="24"/>
                <w:szCs w:val="24"/>
              </w:rPr>
            </w:pPr>
          </w:p>
        </w:tc>
        <w:tc>
          <w:tcPr>
            <w:tcW w:w="8567" w:type="dxa"/>
            <w:tcBorders>
              <w:left w:val="single" w:sz="4" w:space="0" w:color="auto"/>
            </w:tcBorders>
          </w:tcPr>
          <w:p w14:paraId="6EE2B8F3" w14:textId="77777777" w:rsidR="00687C6F" w:rsidRPr="00185436" w:rsidRDefault="00687C6F" w:rsidP="00264A3C">
            <w:pPr>
              <w:spacing w:line="360" w:lineRule="auto"/>
              <w:rPr>
                <w:rFonts w:ascii="Calibri" w:hAnsi="Calibri"/>
              </w:rPr>
            </w:pPr>
          </w:p>
        </w:tc>
      </w:tr>
      <w:tr w:rsidR="00687C6F" w:rsidRPr="00185436" w14:paraId="6EE2B8FC" w14:textId="77777777" w:rsidTr="00264A3C">
        <w:tc>
          <w:tcPr>
            <w:tcW w:w="675" w:type="dxa"/>
            <w:tcBorders>
              <w:right w:val="single" w:sz="4" w:space="0" w:color="auto"/>
            </w:tcBorders>
          </w:tcPr>
          <w:p w14:paraId="6EE2B8F5" w14:textId="77777777" w:rsidR="00687C6F" w:rsidRPr="00185436" w:rsidRDefault="00C03FAE" w:rsidP="00264A3C">
            <w:pPr>
              <w:spacing w:line="360" w:lineRule="auto"/>
              <w:rPr>
                <w:rFonts w:ascii="Calibri" w:hAnsi="Calibri"/>
                <w:sz w:val="24"/>
                <w:szCs w:val="24"/>
              </w:rPr>
            </w:pPr>
            <w:r w:rsidRPr="00185436">
              <w:rPr>
                <w:rFonts w:ascii="Calibri" w:hAnsi="Calibri"/>
                <w:sz w:val="24"/>
                <w:szCs w:val="24"/>
              </w:rPr>
              <w:t>7.1</w:t>
            </w:r>
          </w:p>
        </w:tc>
        <w:tc>
          <w:tcPr>
            <w:tcW w:w="8567" w:type="dxa"/>
            <w:tcBorders>
              <w:left w:val="single" w:sz="4" w:space="0" w:color="auto"/>
            </w:tcBorders>
          </w:tcPr>
          <w:p w14:paraId="6EE2B8F6" w14:textId="77777777" w:rsidR="00687C6F" w:rsidRPr="00185436" w:rsidRDefault="00F41F82" w:rsidP="00264A3C">
            <w:pPr>
              <w:spacing w:line="360" w:lineRule="auto"/>
              <w:jc w:val="both"/>
              <w:rPr>
                <w:rFonts w:ascii="Calibri" w:hAnsi="Calibri" w:cs="Arial"/>
                <w:sz w:val="24"/>
                <w:szCs w:val="24"/>
              </w:rPr>
            </w:pPr>
            <w:r>
              <w:rPr>
                <w:rFonts w:ascii="Calibri" w:hAnsi="Calibri" w:cs="Arial"/>
                <w:sz w:val="24"/>
                <w:szCs w:val="24"/>
              </w:rPr>
              <w:t>The Board meeting will follow, as a minimum, the agenda detailed below</w:t>
            </w:r>
          </w:p>
          <w:p w14:paraId="6EE2B8F7" w14:textId="77777777" w:rsidR="00687C6F" w:rsidRPr="00185436" w:rsidRDefault="00F41F82" w:rsidP="00264A3C">
            <w:pPr>
              <w:pStyle w:val="ListParagraph"/>
              <w:numPr>
                <w:ilvl w:val="0"/>
                <w:numId w:val="10"/>
              </w:numPr>
              <w:spacing w:line="360" w:lineRule="auto"/>
              <w:jc w:val="both"/>
              <w:rPr>
                <w:rFonts w:ascii="Calibri" w:hAnsi="Calibri" w:cs="Arial"/>
                <w:sz w:val="24"/>
                <w:szCs w:val="24"/>
              </w:rPr>
            </w:pPr>
            <w:r>
              <w:rPr>
                <w:rFonts w:ascii="Calibri" w:eastAsia="Times New Roman" w:hAnsi="Calibri" w:cs="Tahoma"/>
                <w:color w:val="000000"/>
                <w:sz w:val="24"/>
                <w:szCs w:val="24"/>
              </w:rPr>
              <w:t>Financial Update</w:t>
            </w:r>
          </w:p>
          <w:p w14:paraId="6EE2B8F8" w14:textId="77777777" w:rsidR="00687C6F" w:rsidRPr="00185436" w:rsidRDefault="00905E58" w:rsidP="00264A3C">
            <w:pPr>
              <w:pStyle w:val="ListParagraph"/>
              <w:numPr>
                <w:ilvl w:val="0"/>
                <w:numId w:val="10"/>
              </w:numPr>
              <w:spacing w:line="360" w:lineRule="auto"/>
              <w:jc w:val="both"/>
              <w:rPr>
                <w:rFonts w:ascii="Calibri" w:hAnsi="Calibri" w:cs="Arial"/>
                <w:sz w:val="24"/>
                <w:szCs w:val="24"/>
              </w:rPr>
            </w:pPr>
            <w:r>
              <w:rPr>
                <w:rFonts w:ascii="Calibri" w:hAnsi="Calibri" w:cs="Arial"/>
                <w:sz w:val="24"/>
                <w:szCs w:val="24"/>
              </w:rPr>
              <w:t>External</w:t>
            </w:r>
            <w:r w:rsidR="00F41F82">
              <w:rPr>
                <w:rFonts w:ascii="Calibri" w:hAnsi="Calibri" w:cs="Arial"/>
                <w:sz w:val="24"/>
                <w:szCs w:val="24"/>
              </w:rPr>
              <w:t xml:space="preserve"> Placement Update</w:t>
            </w:r>
          </w:p>
          <w:p w14:paraId="6EE2B8F9" w14:textId="77777777" w:rsidR="00687C6F" w:rsidRPr="00185436" w:rsidRDefault="00F41F82" w:rsidP="00264A3C">
            <w:pPr>
              <w:pStyle w:val="ListParagraph"/>
              <w:numPr>
                <w:ilvl w:val="0"/>
                <w:numId w:val="10"/>
              </w:numPr>
              <w:spacing w:line="360" w:lineRule="auto"/>
              <w:jc w:val="both"/>
              <w:rPr>
                <w:rFonts w:ascii="Calibri" w:hAnsi="Calibri" w:cs="Arial"/>
                <w:sz w:val="24"/>
                <w:szCs w:val="24"/>
              </w:rPr>
            </w:pPr>
            <w:r>
              <w:rPr>
                <w:rFonts w:ascii="Calibri" w:hAnsi="Calibri" w:cs="Arial"/>
                <w:sz w:val="24"/>
                <w:szCs w:val="24"/>
              </w:rPr>
              <w:t>Placement Activity Update</w:t>
            </w:r>
          </w:p>
          <w:p w14:paraId="6EE2B8FA" w14:textId="5D669D6D" w:rsidR="00F41F82" w:rsidRPr="008B162B" w:rsidRDefault="00F41F82" w:rsidP="00491056">
            <w:pPr>
              <w:pStyle w:val="ListParagraph"/>
              <w:numPr>
                <w:ilvl w:val="0"/>
                <w:numId w:val="10"/>
              </w:numPr>
              <w:spacing w:line="360" w:lineRule="auto"/>
              <w:jc w:val="both"/>
              <w:rPr>
                <w:rFonts w:ascii="Calibri" w:hAnsi="Calibri" w:cs="Arial"/>
                <w:sz w:val="24"/>
                <w:szCs w:val="24"/>
              </w:rPr>
            </w:pPr>
            <w:r>
              <w:rPr>
                <w:rFonts w:ascii="Calibri" w:eastAsia="Times New Roman" w:hAnsi="Calibri" w:cs="Tahoma"/>
                <w:color w:val="000000"/>
                <w:sz w:val="24"/>
                <w:szCs w:val="24"/>
              </w:rPr>
              <w:t>Performance against KPIs (quarterly)</w:t>
            </w:r>
          </w:p>
          <w:p w14:paraId="44B23E95" w14:textId="12D6E324" w:rsidR="00C742E0" w:rsidRPr="00F41F82" w:rsidRDefault="00C742E0" w:rsidP="00491056">
            <w:pPr>
              <w:pStyle w:val="ListParagraph"/>
              <w:numPr>
                <w:ilvl w:val="0"/>
                <w:numId w:val="10"/>
              </w:numPr>
              <w:spacing w:line="360" w:lineRule="auto"/>
              <w:jc w:val="both"/>
              <w:rPr>
                <w:rFonts w:ascii="Calibri" w:hAnsi="Calibri" w:cs="Arial"/>
                <w:sz w:val="24"/>
                <w:szCs w:val="24"/>
              </w:rPr>
            </w:pPr>
            <w:r>
              <w:rPr>
                <w:rFonts w:ascii="Calibri" w:hAnsi="Calibri" w:cs="Arial"/>
                <w:sz w:val="24"/>
                <w:szCs w:val="24"/>
              </w:rPr>
              <w:t xml:space="preserve">Sufficiency action plan ( dated January 22) </w:t>
            </w:r>
          </w:p>
          <w:p w14:paraId="6EE2B8FB" w14:textId="77777777" w:rsidR="00A1002C" w:rsidRPr="00491056" w:rsidRDefault="00A1002C" w:rsidP="00F41F82">
            <w:pPr>
              <w:pStyle w:val="ListParagraph"/>
              <w:spacing w:line="360" w:lineRule="auto"/>
              <w:ind w:left="1080"/>
              <w:jc w:val="both"/>
              <w:rPr>
                <w:rFonts w:ascii="Calibri" w:hAnsi="Calibri" w:cs="Arial"/>
                <w:sz w:val="24"/>
                <w:szCs w:val="24"/>
              </w:rPr>
            </w:pPr>
          </w:p>
        </w:tc>
      </w:tr>
    </w:tbl>
    <w:p w14:paraId="6EE2B8FD" w14:textId="77777777" w:rsidR="000B0089" w:rsidRDefault="00F41F82" w:rsidP="00F336C3">
      <w:pPr>
        <w:jc w:val="center"/>
      </w:pPr>
      <w:r>
        <w:t xml:space="preserve"> </w:t>
      </w:r>
      <w:r w:rsidR="00F336C3">
        <w:t>(End)</w:t>
      </w:r>
    </w:p>
    <w:sectPr w:rsidR="000B00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E48A" w14:textId="77777777" w:rsidR="00F33F7E" w:rsidRDefault="00F33F7E" w:rsidP="005531E9">
      <w:pPr>
        <w:spacing w:after="0" w:line="240" w:lineRule="auto"/>
      </w:pPr>
      <w:r>
        <w:separator/>
      </w:r>
    </w:p>
  </w:endnote>
  <w:endnote w:type="continuationSeparator" w:id="0">
    <w:p w14:paraId="70E1B6D1" w14:textId="77777777" w:rsidR="00F33F7E" w:rsidRDefault="00F33F7E" w:rsidP="0055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68171"/>
      <w:docPartObj>
        <w:docPartGallery w:val="Page Numbers (Bottom of Page)"/>
        <w:docPartUnique/>
      </w:docPartObj>
    </w:sdtPr>
    <w:sdtEndPr>
      <w:rPr>
        <w:noProof/>
      </w:rPr>
    </w:sdtEndPr>
    <w:sdtContent>
      <w:p w14:paraId="6EE2B904" w14:textId="77777777" w:rsidR="00F37F12" w:rsidRDefault="00F37F12">
        <w:pPr>
          <w:pStyle w:val="Footer"/>
          <w:jc w:val="right"/>
        </w:pPr>
        <w:r>
          <w:fldChar w:fldCharType="begin"/>
        </w:r>
        <w:r>
          <w:instrText xml:space="preserve"> PAGE   \* MERGEFORMAT </w:instrText>
        </w:r>
        <w:r>
          <w:fldChar w:fldCharType="separate"/>
        </w:r>
        <w:r w:rsidR="002C3F95">
          <w:rPr>
            <w:noProof/>
          </w:rPr>
          <w:t>1</w:t>
        </w:r>
        <w:r>
          <w:rPr>
            <w:noProof/>
          </w:rPr>
          <w:fldChar w:fldCharType="end"/>
        </w:r>
      </w:p>
    </w:sdtContent>
  </w:sdt>
  <w:p w14:paraId="6EE2B905" w14:textId="77777777" w:rsidR="00F37F12" w:rsidRDefault="00F37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1F04" w14:textId="77777777" w:rsidR="00F33F7E" w:rsidRDefault="00F33F7E" w:rsidP="005531E9">
      <w:pPr>
        <w:spacing w:after="0" w:line="240" w:lineRule="auto"/>
      </w:pPr>
      <w:r>
        <w:separator/>
      </w:r>
    </w:p>
  </w:footnote>
  <w:footnote w:type="continuationSeparator" w:id="0">
    <w:p w14:paraId="07F37D9F" w14:textId="77777777" w:rsidR="00F33F7E" w:rsidRDefault="00F33F7E" w:rsidP="0055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DCC"/>
    <w:multiLevelType w:val="hybridMultilevel"/>
    <w:tmpl w:val="A69C32E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BF7174"/>
    <w:multiLevelType w:val="hybridMultilevel"/>
    <w:tmpl w:val="7478B4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FF3C0E"/>
    <w:multiLevelType w:val="hybridMultilevel"/>
    <w:tmpl w:val="3DE87C6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4F28DF"/>
    <w:multiLevelType w:val="hybridMultilevel"/>
    <w:tmpl w:val="3FF891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564BDC"/>
    <w:multiLevelType w:val="hybridMultilevel"/>
    <w:tmpl w:val="E6503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5562EC"/>
    <w:multiLevelType w:val="hybridMultilevel"/>
    <w:tmpl w:val="7112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6579E"/>
    <w:multiLevelType w:val="hybridMultilevel"/>
    <w:tmpl w:val="2F68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63916"/>
    <w:multiLevelType w:val="hybridMultilevel"/>
    <w:tmpl w:val="649A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9C4447"/>
    <w:multiLevelType w:val="hybridMultilevel"/>
    <w:tmpl w:val="D57C6D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27017D"/>
    <w:multiLevelType w:val="hybridMultilevel"/>
    <w:tmpl w:val="3660721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0B15FA"/>
    <w:multiLevelType w:val="hybridMultilevel"/>
    <w:tmpl w:val="B03EB84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8C66EA"/>
    <w:multiLevelType w:val="hybridMultilevel"/>
    <w:tmpl w:val="E7900CB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4B0638"/>
    <w:multiLevelType w:val="hybridMultilevel"/>
    <w:tmpl w:val="57DE3526"/>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B6A3AC3"/>
    <w:multiLevelType w:val="hybridMultilevel"/>
    <w:tmpl w:val="F67479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1137E2"/>
    <w:multiLevelType w:val="hybridMultilevel"/>
    <w:tmpl w:val="D8EA0C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176D40"/>
    <w:multiLevelType w:val="hybridMultilevel"/>
    <w:tmpl w:val="B8D67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7091B2A"/>
    <w:multiLevelType w:val="hybridMultilevel"/>
    <w:tmpl w:val="926E3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D244EF"/>
    <w:multiLevelType w:val="hybridMultilevel"/>
    <w:tmpl w:val="72A49A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37A7074"/>
    <w:multiLevelType w:val="hybridMultilevel"/>
    <w:tmpl w:val="D438149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FE54FD"/>
    <w:multiLevelType w:val="hybridMultilevel"/>
    <w:tmpl w:val="BB124976"/>
    <w:lvl w:ilvl="0" w:tplc="0809001B">
      <w:start w:val="1"/>
      <w:numFmt w:val="lowerRoman"/>
      <w:lvlText w:val="%1."/>
      <w:lvlJc w:val="righ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7B29B9"/>
    <w:multiLevelType w:val="hybridMultilevel"/>
    <w:tmpl w:val="B2D2C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7F3E88"/>
    <w:multiLevelType w:val="hybridMultilevel"/>
    <w:tmpl w:val="6D0E50E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841C1A"/>
    <w:multiLevelType w:val="hybridMultilevel"/>
    <w:tmpl w:val="A8183B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F707AC"/>
    <w:multiLevelType w:val="hybridMultilevel"/>
    <w:tmpl w:val="0B7E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13EF1"/>
    <w:multiLevelType w:val="hybridMultilevel"/>
    <w:tmpl w:val="EB94399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2"/>
  </w:num>
  <w:num w:numId="3">
    <w:abstractNumId w:val="13"/>
  </w:num>
  <w:num w:numId="4">
    <w:abstractNumId w:val="14"/>
  </w:num>
  <w:num w:numId="5">
    <w:abstractNumId w:val="15"/>
  </w:num>
  <w:num w:numId="6">
    <w:abstractNumId w:val="1"/>
  </w:num>
  <w:num w:numId="7">
    <w:abstractNumId w:val="2"/>
  </w:num>
  <w:num w:numId="8">
    <w:abstractNumId w:val="16"/>
  </w:num>
  <w:num w:numId="9">
    <w:abstractNumId w:val="7"/>
  </w:num>
  <w:num w:numId="10">
    <w:abstractNumId w:val="17"/>
  </w:num>
  <w:num w:numId="11">
    <w:abstractNumId w:val="10"/>
  </w:num>
  <w:num w:numId="12">
    <w:abstractNumId w:val="3"/>
  </w:num>
  <w:num w:numId="13">
    <w:abstractNumId w:val="4"/>
  </w:num>
  <w:num w:numId="14">
    <w:abstractNumId w:val="24"/>
  </w:num>
  <w:num w:numId="15">
    <w:abstractNumId w:val="18"/>
  </w:num>
  <w:num w:numId="16">
    <w:abstractNumId w:val="9"/>
  </w:num>
  <w:num w:numId="17">
    <w:abstractNumId w:val="19"/>
  </w:num>
  <w:num w:numId="18">
    <w:abstractNumId w:val="20"/>
  </w:num>
  <w:num w:numId="19">
    <w:abstractNumId w:val="22"/>
  </w:num>
  <w:num w:numId="20">
    <w:abstractNumId w:val="0"/>
  </w:num>
  <w:num w:numId="21">
    <w:abstractNumId w:val="21"/>
  </w:num>
  <w:num w:numId="22">
    <w:abstractNumId w:val="11"/>
  </w:num>
  <w:num w:numId="23">
    <w:abstractNumId w:val="6"/>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C2"/>
    <w:rsid w:val="00082435"/>
    <w:rsid w:val="00085860"/>
    <w:rsid w:val="000A64C2"/>
    <w:rsid w:val="000B0089"/>
    <w:rsid w:val="000C5210"/>
    <w:rsid w:val="001417EA"/>
    <w:rsid w:val="00161CE7"/>
    <w:rsid w:val="00185436"/>
    <w:rsid w:val="00221740"/>
    <w:rsid w:val="00264A3C"/>
    <w:rsid w:val="00266D58"/>
    <w:rsid w:val="0027081F"/>
    <w:rsid w:val="002C3F95"/>
    <w:rsid w:val="002D2273"/>
    <w:rsid w:val="002D37B8"/>
    <w:rsid w:val="00322042"/>
    <w:rsid w:val="00343C00"/>
    <w:rsid w:val="0036322C"/>
    <w:rsid w:val="00366827"/>
    <w:rsid w:val="003D7178"/>
    <w:rsid w:val="00420141"/>
    <w:rsid w:val="00423264"/>
    <w:rsid w:val="004538EB"/>
    <w:rsid w:val="004752B2"/>
    <w:rsid w:val="00491056"/>
    <w:rsid w:val="005531E9"/>
    <w:rsid w:val="00571A6F"/>
    <w:rsid w:val="005C597B"/>
    <w:rsid w:val="005F1810"/>
    <w:rsid w:val="00612838"/>
    <w:rsid w:val="0065278C"/>
    <w:rsid w:val="00663DAC"/>
    <w:rsid w:val="00685C14"/>
    <w:rsid w:val="00687C6F"/>
    <w:rsid w:val="006B2854"/>
    <w:rsid w:val="006D4CAD"/>
    <w:rsid w:val="00760DCD"/>
    <w:rsid w:val="0078505D"/>
    <w:rsid w:val="007E3101"/>
    <w:rsid w:val="0080441D"/>
    <w:rsid w:val="0082645B"/>
    <w:rsid w:val="008545EE"/>
    <w:rsid w:val="008B162B"/>
    <w:rsid w:val="008C0AFE"/>
    <w:rsid w:val="008E4CF9"/>
    <w:rsid w:val="00905E58"/>
    <w:rsid w:val="009520C0"/>
    <w:rsid w:val="00987A02"/>
    <w:rsid w:val="009C00C6"/>
    <w:rsid w:val="00A05E4B"/>
    <w:rsid w:val="00A063F2"/>
    <w:rsid w:val="00A1002C"/>
    <w:rsid w:val="00A10523"/>
    <w:rsid w:val="00B265DA"/>
    <w:rsid w:val="00BF3D38"/>
    <w:rsid w:val="00C03FAE"/>
    <w:rsid w:val="00C115CD"/>
    <w:rsid w:val="00C50D0D"/>
    <w:rsid w:val="00C742E0"/>
    <w:rsid w:val="00C77A99"/>
    <w:rsid w:val="00CA15F7"/>
    <w:rsid w:val="00D025E2"/>
    <w:rsid w:val="00D11357"/>
    <w:rsid w:val="00D36DB4"/>
    <w:rsid w:val="00D75AF6"/>
    <w:rsid w:val="00D96CD0"/>
    <w:rsid w:val="00DA4F3B"/>
    <w:rsid w:val="00DB2CF8"/>
    <w:rsid w:val="00DD377B"/>
    <w:rsid w:val="00DE67FC"/>
    <w:rsid w:val="00E90573"/>
    <w:rsid w:val="00EE4E8E"/>
    <w:rsid w:val="00F13EFD"/>
    <w:rsid w:val="00F17175"/>
    <w:rsid w:val="00F336C3"/>
    <w:rsid w:val="00F33F7E"/>
    <w:rsid w:val="00F37F12"/>
    <w:rsid w:val="00F41F82"/>
    <w:rsid w:val="00F62815"/>
    <w:rsid w:val="00F80392"/>
    <w:rsid w:val="00FB6070"/>
    <w:rsid w:val="00FD0B93"/>
    <w:rsid w:val="00FD22D0"/>
    <w:rsid w:val="00FE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B85E"/>
  <w15:docId w15:val="{81F19843-8452-41D1-9902-81C455AD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4C2"/>
    <w:pPr>
      <w:ind w:left="720"/>
      <w:contextualSpacing/>
    </w:pPr>
  </w:style>
  <w:style w:type="character" w:styleId="Hyperlink">
    <w:name w:val="Hyperlink"/>
    <w:basedOn w:val="DefaultParagraphFont"/>
    <w:uiPriority w:val="99"/>
    <w:unhideWhenUsed/>
    <w:rsid w:val="000A64C2"/>
    <w:rPr>
      <w:color w:val="0000FF"/>
      <w:u w:val="single"/>
    </w:rPr>
  </w:style>
  <w:style w:type="paragraph" w:styleId="BalloonText">
    <w:name w:val="Balloon Text"/>
    <w:basedOn w:val="Normal"/>
    <w:link w:val="BalloonTextChar"/>
    <w:uiPriority w:val="99"/>
    <w:semiHidden/>
    <w:unhideWhenUsed/>
    <w:rsid w:val="00DB2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F8"/>
    <w:rPr>
      <w:rFonts w:ascii="Tahoma" w:hAnsi="Tahoma" w:cs="Tahoma"/>
      <w:sz w:val="16"/>
      <w:szCs w:val="16"/>
    </w:rPr>
  </w:style>
  <w:style w:type="character" w:styleId="FollowedHyperlink">
    <w:name w:val="FollowedHyperlink"/>
    <w:basedOn w:val="DefaultParagraphFont"/>
    <w:uiPriority w:val="99"/>
    <w:semiHidden/>
    <w:unhideWhenUsed/>
    <w:rsid w:val="005F1810"/>
    <w:rPr>
      <w:color w:val="800080" w:themeColor="followedHyperlink"/>
      <w:u w:val="single"/>
    </w:rPr>
  </w:style>
  <w:style w:type="paragraph" w:styleId="Header">
    <w:name w:val="header"/>
    <w:basedOn w:val="Normal"/>
    <w:link w:val="HeaderChar"/>
    <w:uiPriority w:val="99"/>
    <w:unhideWhenUsed/>
    <w:rsid w:val="0055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1E9"/>
  </w:style>
  <w:style w:type="paragraph" w:styleId="Footer">
    <w:name w:val="footer"/>
    <w:basedOn w:val="Normal"/>
    <w:link w:val="FooterChar"/>
    <w:uiPriority w:val="99"/>
    <w:unhideWhenUsed/>
    <w:rsid w:val="0055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E7A63180CC44FA2703D4C57089C8A" ma:contentTypeVersion="2" ma:contentTypeDescription="Create a new document." ma:contentTypeScope="" ma:versionID="d95f175a92ab0e3b126e770fbe729acd">
  <xsd:schema xmlns:xsd="http://www.w3.org/2001/XMLSchema" xmlns:xs="http://www.w3.org/2001/XMLSchema" xmlns:p="http://schemas.microsoft.com/office/2006/metadata/properties" xmlns:ns2="http://schemas.microsoft.com/sharepoint.v3" xmlns:ns3="http://schemas.microsoft.com/sharepoint/v4" targetNamespace="http://schemas.microsoft.com/office/2006/metadata/properties" ma:root="true" ma:fieldsID="ea2f51bff513858796e520150e5546ac" ns2:_="" ns3:_="">
    <xsd:import namespace="http://schemas.microsoft.com/sharepoint.v3"/>
    <xsd:import namespace="http://schemas.microsoft.com/sharepoint/v4"/>
    <xsd:element name="properties">
      <xsd:complexType>
        <xsd:sequence>
          <xsd:element name="documentManagement">
            <xsd:complexType>
              <xsd:all>
                <xsd:element ref="ns2:CategoryDescrip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2E095-AB14-4EE8-A9E3-C5C27097ABCB}">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A9AF647C-99C1-46A9-981B-ED9F0F95B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0110F-E04D-42B4-8759-F76083B74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Matthewman , Joanne (SERVICE IMPROVEMENT &amp; ASSURANCE OFFICER)</cp:lastModifiedBy>
  <cp:revision>4</cp:revision>
  <cp:lastPrinted>2018-11-07T14:36:00Z</cp:lastPrinted>
  <dcterms:created xsi:type="dcterms:W3CDTF">2022-02-14T15:11:00Z</dcterms:created>
  <dcterms:modified xsi:type="dcterms:W3CDTF">2022-12-02T08:33:00Z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0x010100D26E7A63180CC44FA2703D4C57089C8A</vt:lpwstr>
  </property>
  <property fmtid="{D5CDD505-2E9C-101B-9397-08002B2CF9AE}" pid="3" name="IsMyDocuments">
    <vt:bool>true</vt:bool>
  </property>
</Properties>
</file>