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11810"/>
      </w:tblGrid>
      <w:tr w:rsidR="00F178B4" w:rsidTr="003C483B">
        <w:tc>
          <w:tcPr>
            <w:tcW w:w="0" w:type="auto"/>
            <w:gridSpan w:val="2"/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F178B4" w:rsidRPr="00F178B4" w:rsidRDefault="00F178B4" w:rsidP="003C483B">
            <w:pPr>
              <w:jc w:val="center"/>
              <w:rPr>
                <w:rFonts w:ascii="Calibri" w:hAnsi="Calibri"/>
              </w:rPr>
            </w:pPr>
            <w:r w:rsidRPr="00F178B4">
              <w:t>Continuum of sexual behaviou</w:t>
            </w:r>
            <w:r w:rsidRPr="00F178B4">
              <w:t>rs by children and young people – HACKETT 2010 Children and Young People with Sexually Harmful Behaviours</w:t>
            </w:r>
          </w:p>
        </w:tc>
      </w:tr>
      <w:tr w:rsidR="00F178B4" w:rsidTr="003C483B">
        <w:tc>
          <w:tcPr>
            <w:tcW w:w="0" w:type="auto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F178B4" w:rsidRDefault="00F178B4" w:rsidP="003C48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0" w:type="auto"/>
            <w:tcBorders>
              <w:top w:val="single" w:sz="7" w:space="0" w:color="D8D8D8"/>
              <w:left w:val="nil"/>
              <w:bottom w:val="single" w:sz="7" w:space="0" w:color="D8D8D8"/>
              <w:right w:val="single" w:sz="7" w:space="0" w:color="D8D8D8"/>
            </w:tcBorders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F178B4" w:rsidRDefault="00F178B4" w:rsidP="003C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Developmentally expected.</w:t>
            </w:r>
            <w:r>
              <w:rPr>
                <w:sz w:val="20"/>
                <w:szCs w:val="20"/>
              </w:rPr>
              <w:br/>
              <w:t>Socially acceptable.</w:t>
            </w:r>
            <w:r>
              <w:rPr>
                <w:sz w:val="20"/>
                <w:szCs w:val="20"/>
              </w:rPr>
              <w:br/>
              <w:t>Consensual, mutual, reciprocal.</w:t>
            </w:r>
            <w:r>
              <w:rPr>
                <w:sz w:val="20"/>
                <w:szCs w:val="20"/>
              </w:rPr>
              <w:br/>
              <w:t>Shared decision-making.</w:t>
            </w:r>
          </w:p>
        </w:tc>
        <w:bookmarkStart w:id="0" w:name="_GoBack"/>
        <w:bookmarkEnd w:id="0"/>
      </w:tr>
      <w:tr w:rsidR="00F178B4" w:rsidTr="003C483B">
        <w:tc>
          <w:tcPr>
            <w:tcW w:w="0" w:type="auto"/>
            <w:tcBorders>
              <w:top w:val="nil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F178B4" w:rsidRDefault="00F178B4" w:rsidP="003C48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7" w:space="0" w:color="D8D8D8"/>
              <w:right w:val="single" w:sz="7" w:space="0" w:color="D8D8D8"/>
            </w:tcBorders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F178B4" w:rsidRDefault="00F178B4" w:rsidP="003C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instances of inappropriate sexual behaviour.</w:t>
            </w:r>
            <w:r>
              <w:rPr>
                <w:sz w:val="20"/>
                <w:szCs w:val="20"/>
              </w:rPr>
              <w:br/>
              <w:t>Socially acceptable behaviour within peer group.</w:t>
            </w:r>
            <w:r>
              <w:rPr>
                <w:sz w:val="20"/>
                <w:szCs w:val="20"/>
              </w:rPr>
              <w:br/>
              <w:t>Context for behaviour may be inappropriate.</w:t>
            </w:r>
            <w:r>
              <w:rPr>
                <w:sz w:val="20"/>
                <w:szCs w:val="20"/>
              </w:rPr>
              <w:br/>
              <w:t>Generally consensual and reciprocal.</w:t>
            </w:r>
          </w:p>
        </w:tc>
      </w:tr>
      <w:tr w:rsidR="00F178B4" w:rsidTr="003C483B">
        <w:tc>
          <w:tcPr>
            <w:tcW w:w="0" w:type="auto"/>
            <w:tcBorders>
              <w:top w:val="nil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F178B4" w:rsidRDefault="00F178B4" w:rsidP="003C48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Problematic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7" w:space="0" w:color="D8D8D8"/>
              <w:right w:val="single" w:sz="7" w:space="0" w:color="D8D8D8"/>
            </w:tcBorders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F178B4" w:rsidRDefault="00F178B4" w:rsidP="003C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Problematic and concerning behaviours.</w:t>
            </w:r>
            <w:r>
              <w:rPr>
                <w:sz w:val="20"/>
                <w:szCs w:val="20"/>
              </w:rPr>
              <w:br/>
              <w:t>Developmentally unusual and socially unexpected.</w:t>
            </w:r>
            <w:r>
              <w:rPr>
                <w:sz w:val="20"/>
                <w:szCs w:val="20"/>
              </w:rPr>
              <w:br/>
              <w:t>No overt elements of victimization.</w:t>
            </w:r>
            <w:r>
              <w:rPr>
                <w:sz w:val="20"/>
                <w:szCs w:val="20"/>
              </w:rPr>
              <w:br/>
              <w:t>Consent issues may be unclear.</w:t>
            </w:r>
            <w:r>
              <w:rPr>
                <w:sz w:val="20"/>
                <w:szCs w:val="20"/>
              </w:rPr>
              <w:br/>
              <w:t>May lack reciprocity or equal power.</w:t>
            </w:r>
            <w:r>
              <w:rPr>
                <w:sz w:val="20"/>
                <w:szCs w:val="20"/>
              </w:rPr>
              <w:br/>
              <w:t>May include levels of compulsivity.</w:t>
            </w:r>
          </w:p>
        </w:tc>
      </w:tr>
      <w:tr w:rsidR="00F178B4" w:rsidTr="003C483B">
        <w:tc>
          <w:tcPr>
            <w:tcW w:w="0" w:type="auto"/>
            <w:tcBorders>
              <w:top w:val="nil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F178B4" w:rsidRDefault="00F178B4" w:rsidP="003C48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Abusive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7" w:space="0" w:color="D8D8D8"/>
              <w:right w:val="single" w:sz="7" w:space="0" w:color="D8D8D8"/>
            </w:tcBorders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F178B4" w:rsidRDefault="00F178B4" w:rsidP="003C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Victimising intent or outcome.</w:t>
            </w:r>
            <w:r>
              <w:rPr>
                <w:sz w:val="20"/>
                <w:szCs w:val="20"/>
              </w:rPr>
              <w:br/>
              <w:t>Includes misuse of power.</w:t>
            </w:r>
            <w:r>
              <w:rPr>
                <w:sz w:val="20"/>
                <w:szCs w:val="20"/>
              </w:rPr>
              <w:br/>
              <w:t>Coercion and force to ensure compliance.</w:t>
            </w:r>
            <w:r>
              <w:rPr>
                <w:sz w:val="20"/>
                <w:szCs w:val="20"/>
              </w:rPr>
              <w:br/>
              <w:t>Intrusive.</w:t>
            </w:r>
            <w:r>
              <w:rPr>
                <w:sz w:val="20"/>
                <w:szCs w:val="20"/>
              </w:rPr>
              <w:br/>
              <w:t>Informed consent lacking, or not able to be freely given by victim.</w:t>
            </w:r>
            <w:r>
              <w:rPr>
                <w:sz w:val="20"/>
                <w:szCs w:val="20"/>
              </w:rPr>
              <w:br/>
              <w:t>May include elements of expressive violence.</w:t>
            </w:r>
          </w:p>
        </w:tc>
      </w:tr>
      <w:tr w:rsidR="00F178B4" w:rsidTr="00F178B4">
        <w:tc>
          <w:tcPr>
            <w:tcW w:w="0" w:type="auto"/>
            <w:tcBorders>
              <w:top w:val="nil"/>
              <w:left w:val="single" w:sz="7" w:space="0" w:color="D8D8D8"/>
              <w:bottom w:val="nil"/>
              <w:right w:val="single" w:sz="7" w:space="0" w:color="D8D8D8"/>
            </w:tcBorders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F178B4" w:rsidRDefault="00F178B4" w:rsidP="003C48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Violent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7" w:space="0" w:color="D8D8D8"/>
            </w:tcBorders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  <w:hideMark/>
          </w:tcPr>
          <w:p w:rsidR="00F178B4" w:rsidRDefault="00F178B4" w:rsidP="003C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Physically violent sexual abuse.</w:t>
            </w:r>
            <w:r>
              <w:rPr>
                <w:sz w:val="20"/>
                <w:szCs w:val="20"/>
              </w:rPr>
              <w:br/>
              <w:t>Highly intrusive.</w:t>
            </w:r>
            <w:r>
              <w:rPr>
                <w:sz w:val="20"/>
                <w:szCs w:val="20"/>
              </w:rPr>
              <w:br/>
              <w:t>Instrumental violence which is physiologically and/or sexually arou</w:t>
            </w:r>
            <w:r>
              <w:rPr>
                <w:sz w:val="20"/>
                <w:szCs w:val="20"/>
              </w:rPr>
              <w:t>sing to the perpetrator.</w:t>
            </w:r>
            <w:r>
              <w:rPr>
                <w:sz w:val="20"/>
                <w:szCs w:val="20"/>
              </w:rPr>
              <w:br/>
              <w:t>Sadism.</w:t>
            </w:r>
          </w:p>
        </w:tc>
      </w:tr>
      <w:tr w:rsidR="00F178B4" w:rsidTr="003C483B">
        <w:tc>
          <w:tcPr>
            <w:tcW w:w="0" w:type="auto"/>
            <w:tcBorders>
              <w:top w:val="nil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F178B4" w:rsidRDefault="00F178B4" w:rsidP="00F178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7" w:space="0" w:color="D8D8D8"/>
              <w:right w:val="single" w:sz="7" w:space="0" w:color="D8D8D8"/>
            </w:tcBorders>
            <w:tcMar>
              <w:top w:w="56" w:type="dxa"/>
              <w:left w:w="112" w:type="dxa"/>
              <w:bottom w:w="56" w:type="dxa"/>
              <w:right w:w="112" w:type="dxa"/>
            </w:tcMar>
            <w:vAlign w:val="center"/>
          </w:tcPr>
          <w:p w:rsidR="00F178B4" w:rsidRDefault="00F178B4" w:rsidP="003C483B">
            <w:pPr>
              <w:rPr>
                <w:sz w:val="20"/>
                <w:szCs w:val="20"/>
              </w:rPr>
            </w:pPr>
          </w:p>
        </w:tc>
      </w:tr>
    </w:tbl>
    <w:p w:rsidR="007D00C6" w:rsidRDefault="007D00C6" w:rsidP="00F178B4"/>
    <w:sectPr w:rsidR="007D00C6" w:rsidSect="00F178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B4" w:rsidRDefault="00F178B4" w:rsidP="00F178B4">
      <w:pPr>
        <w:spacing w:after="0" w:line="240" w:lineRule="auto"/>
      </w:pPr>
      <w:r>
        <w:separator/>
      </w:r>
    </w:p>
  </w:endnote>
  <w:endnote w:type="continuationSeparator" w:id="0">
    <w:p w:rsidR="00F178B4" w:rsidRDefault="00F178B4" w:rsidP="00F1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B4" w:rsidRDefault="00F178B4" w:rsidP="00F178B4">
      <w:pPr>
        <w:spacing w:after="0" w:line="240" w:lineRule="auto"/>
      </w:pPr>
      <w:r>
        <w:separator/>
      </w:r>
    </w:p>
  </w:footnote>
  <w:footnote w:type="continuationSeparator" w:id="0">
    <w:p w:rsidR="00F178B4" w:rsidRDefault="00F178B4" w:rsidP="00F1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9037D"/>
    <w:multiLevelType w:val="multilevel"/>
    <w:tmpl w:val="2388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B4"/>
    <w:rsid w:val="007D00C6"/>
    <w:rsid w:val="00F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1A551-97D9-43DE-A2BF-A7B3E220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verted-anchor">
    <w:name w:val="converted-anchor"/>
    <w:basedOn w:val="DefaultParagraphFont"/>
    <w:rsid w:val="00F178B4"/>
  </w:style>
  <w:style w:type="paragraph" w:styleId="Header">
    <w:name w:val="header"/>
    <w:basedOn w:val="Normal"/>
    <w:link w:val="HeaderChar"/>
    <w:uiPriority w:val="99"/>
    <w:unhideWhenUsed/>
    <w:rsid w:val="00F17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B4"/>
  </w:style>
  <w:style w:type="paragraph" w:styleId="Footer">
    <w:name w:val="footer"/>
    <w:basedOn w:val="Normal"/>
    <w:link w:val="FooterChar"/>
    <w:uiPriority w:val="99"/>
    <w:unhideWhenUsed/>
    <w:rsid w:val="00F17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1</cp:revision>
  <dcterms:created xsi:type="dcterms:W3CDTF">2018-11-09T07:23:00Z</dcterms:created>
  <dcterms:modified xsi:type="dcterms:W3CDTF">2018-11-09T07:30:00Z</dcterms:modified>
</cp:coreProperties>
</file>