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E8" w:rsidRDefault="00FA34E8" w:rsidP="00FA34E8">
      <w:pPr>
        <w:jc w:val="center"/>
        <w:rPr>
          <w:rFonts w:ascii="Arial" w:hAnsi="Arial" w:cs="Arial"/>
          <w:b/>
          <w:sz w:val="40"/>
          <w:szCs w:val="40"/>
        </w:rPr>
      </w:pPr>
      <w:bookmarkStart w:id="0" w:name="_GoBack"/>
      <w:bookmarkEnd w:id="0"/>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FA34E8">
      <w:pPr>
        <w:jc w:val="center"/>
        <w:rPr>
          <w:rFonts w:ascii="Arial" w:hAnsi="Arial" w:cs="Arial"/>
          <w:b/>
          <w:sz w:val="40"/>
          <w:szCs w:val="40"/>
        </w:rPr>
      </w:pPr>
    </w:p>
    <w:p w:rsidR="00EE619D" w:rsidRDefault="00EE619D" w:rsidP="00EE619D">
      <w:pPr>
        <w:rPr>
          <w:rFonts w:ascii="Arial" w:hAnsi="Arial" w:cs="Arial"/>
          <w:b/>
          <w:sz w:val="44"/>
          <w:szCs w:val="44"/>
        </w:rPr>
      </w:pPr>
      <w:r w:rsidRPr="00EE619D">
        <w:rPr>
          <w:rFonts w:ascii="Arial" w:hAnsi="Arial" w:cs="Arial"/>
          <w:b/>
          <w:sz w:val="44"/>
          <w:szCs w:val="44"/>
        </w:rPr>
        <w:t>Lancashire Transfer Process</w:t>
      </w:r>
    </w:p>
    <w:p w:rsidR="00FF5DA9" w:rsidRDefault="00FF5DA9" w:rsidP="00EE619D">
      <w:pPr>
        <w:rPr>
          <w:rFonts w:ascii="Arial" w:hAnsi="Arial" w:cs="Arial"/>
          <w:b/>
          <w:sz w:val="44"/>
          <w:szCs w:val="44"/>
        </w:rPr>
      </w:pPr>
    </w:p>
    <w:p w:rsidR="00FF5DA9" w:rsidRPr="00EE619D" w:rsidRDefault="00FF5DA9" w:rsidP="00EE619D">
      <w:pPr>
        <w:rPr>
          <w:rFonts w:ascii="Arial" w:hAnsi="Arial" w:cs="Arial"/>
          <w:b/>
          <w:sz w:val="44"/>
          <w:szCs w:val="44"/>
        </w:rPr>
      </w:pPr>
      <w:r>
        <w:rPr>
          <w:rFonts w:ascii="Arial" w:hAnsi="Arial" w:cs="Arial"/>
          <w:b/>
          <w:sz w:val="44"/>
          <w:szCs w:val="44"/>
        </w:rPr>
        <w:lastRenderedPageBreak/>
        <w:t>August 2019</w:t>
      </w:r>
    </w:p>
    <w:p w:rsidR="00EE619D" w:rsidRPr="00EE619D" w:rsidRDefault="00EE619D" w:rsidP="00EE619D">
      <w:pPr>
        <w:rPr>
          <w:rFonts w:ascii="Arial" w:hAnsi="Arial" w:cs="Arial"/>
          <w:b/>
          <w:sz w:val="48"/>
          <w:szCs w:val="48"/>
        </w:rPr>
      </w:pPr>
    </w:p>
    <w:p w:rsidR="00EE619D" w:rsidRDefault="00EE619D" w:rsidP="00EE619D">
      <w:pPr>
        <w:rPr>
          <w:rFonts w:ascii="Arial" w:hAnsi="Arial" w:cs="Arial"/>
          <w:b/>
          <w:sz w:val="40"/>
          <w:szCs w:val="40"/>
        </w:rPr>
      </w:pPr>
    </w:p>
    <w:p w:rsidR="003C185F" w:rsidRDefault="003C185F" w:rsidP="00EE619D">
      <w:pPr>
        <w:rPr>
          <w:rFonts w:ascii="Arial" w:hAnsi="Arial" w:cs="Arial"/>
          <w:b/>
          <w:sz w:val="40"/>
          <w:szCs w:val="40"/>
        </w:rPr>
      </w:pPr>
    </w:p>
    <w:p w:rsidR="003C185F" w:rsidRDefault="003C185F" w:rsidP="00EE619D">
      <w:pPr>
        <w:rPr>
          <w:rFonts w:ascii="Arial" w:hAnsi="Arial" w:cs="Arial"/>
          <w:b/>
          <w:sz w:val="40"/>
          <w:szCs w:val="40"/>
        </w:rPr>
      </w:pPr>
    </w:p>
    <w:p w:rsidR="003C185F" w:rsidRDefault="003C185F" w:rsidP="00EE619D">
      <w:pPr>
        <w:rPr>
          <w:rFonts w:ascii="Arial" w:hAnsi="Arial" w:cs="Arial"/>
          <w:b/>
          <w:sz w:val="40"/>
          <w:szCs w:val="40"/>
        </w:rPr>
      </w:pPr>
    </w:p>
    <w:p w:rsidR="003C185F" w:rsidRDefault="003C185F" w:rsidP="00EE619D">
      <w:pPr>
        <w:rPr>
          <w:rFonts w:ascii="Arial" w:hAnsi="Arial" w:cs="Arial"/>
          <w:b/>
          <w:sz w:val="40"/>
          <w:szCs w:val="40"/>
        </w:rPr>
      </w:pPr>
    </w:p>
    <w:p w:rsidR="003C185F" w:rsidRDefault="003C185F" w:rsidP="00EE619D">
      <w:pPr>
        <w:rPr>
          <w:rFonts w:ascii="Arial" w:hAnsi="Arial" w:cs="Arial"/>
          <w:b/>
          <w:sz w:val="40"/>
          <w:szCs w:val="40"/>
        </w:rPr>
      </w:pPr>
    </w:p>
    <w:p w:rsidR="003C185F" w:rsidRPr="00EE619D" w:rsidRDefault="003C185F" w:rsidP="00EE619D">
      <w:pPr>
        <w:rPr>
          <w:rFonts w:ascii="Arial" w:hAnsi="Arial" w:cs="Arial"/>
          <w:b/>
          <w:sz w:val="48"/>
          <w:szCs w:val="48"/>
        </w:rPr>
      </w:pPr>
      <w:r w:rsidRPr="003C185F">
        <w:rPr>
          <w:rFonts w:ascii="Arial" w:hAnsi="Arial" w:cs="Arial"/>
          <w:b/>
          <w:sz w:val="28"/>
          <w:szCs w:val="28"/>
        </w:rPr>
        <w:t>Expectations of a Social Worker prior to</w:t>
      </w:r>
      <w:r>
        <w:rPr>
          <w:rFonts w:ascii="Arial" w:hAnsi="Arial" w:cs="Arial"/>
          <w:b/>
          <w:sz w:val="48"/>
          <w:szCs w:val="48"/>
        </w:rPr>
        <w:t xml:space="preserve"> </w:t>
      </w:r>
      <w:r w:rsidRPr="003C185F">
        <w:rPr>
          <w:rFonts w:ascii="Arial" w:hAnsi="Arial" w:cs="Arial"/>
          <w:b/>
          <w:sz w:val="28"/>
          <w:szCs w:val="28"/>
        </w:rPr>
        <w:t>all transferred cases</w:t>
      </w:r>
    </w:p>
    <w:p w:rsidR="00185282" w:rsidRPr="00185282" w:rsidRDefault="00185282" w:rsidP="004F227A">
      <w:pPr>
        <w:jc w:val="center"/>
        <w:rPr>
          <w:rFonts w:ascii="Arial" w:hAnsi="Arial" w:cs="Arial"/>
          <w:b/>
        </w:rPr>
      </w:pPr>
    </w:p>
    <w:p w:rsidR="00FF5DA9" w:rsidRDefault="00FF5DA9" w:rsidP="003C185F">
      <w:pPr>
        <w:rPr>
          <w:rFonts w:ascii="Arial" w:hAnsi="Arial" w:cs="Arial"/>
          <w:b/>
        </w:rPr>
      </w:pPr>
    </w:p>
    <w:p w:rsidR="005769C3" w:rsidRPr="00AB23EB" w:rsidRDefault="003C185F" w:rsidP="003C185F">
      <w:pPr>
        <w:rPr>
          <w:rFonts w:ascii="Arial" w:hAnsi="Arial" w:cs="Arial"/>
          <w:b/>
          <w:color w:val="FF0000"/>
        </w:rPr>
      </w:pPr>
      <w:r w:rsidRPr="003C185F">
        <w:rPr>
          <w:noProof/>
          <w:sz w:val="28"/>
          <w:szCs w:val="28"/>
          <w:lang w:eastAsia="en-GB"/>
        </w:rPr>
        <w:lastRenderedPageBreak/>
        <w:drawing>
          <wp:anchor distT="0" distB="0" distL="114300" distR="114300" simplePos="0" relativeHeight="251674624" behindDoc="0" locked="0" layoutInCell="1" allowOverlap="1" wp14:anchorId="7D35F91C" wp14:editId="1AA2AF05">
            <wp:simplePos x="0" y="0"/>
            <wp:positionH relativeFrom="column">
              <wp:posOffset>0</wp:posOffset>
            </wp:positionH>
            <wp:positionV relativeFrom="paragraph">
              <wp:posOffset>286385</wp:posOffset>
            </wp:positionV>
            <wp:extent cx="5741670" cy="5780405"/>
            <wp:effectExtent l="247650" t="76200" r="321945" b="10033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3A1E21">
        <w:rPr>
          <w:rFonts w:ascii="Arial" w:hAnsi="Arial" w:cs="Arial"/>
          <w:b/>
          <w:color w:val="FF0000"/>
        </w:rPr>
        <w:t xml:space="preserve"> </w:t>
      </w:r>
      <w:r w:rsidR="0011639F" w:rsidRPr="00185282">
        <w:rPr>
          <w:rFonts w:ascii="Arial" w:hAnsi="Arial" w:cs="Arial"/>
          <w:b/>
        </w:rPr>
        <w:br w:type="page"/>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u w:val="single"/>
          <w:lang w:eastAsia="en-GB"/>
        </w:rPr>
        <w:lastRenderedPageBreak/>
        <w:t>TRANSFER  PROTOC</w:t>
      </w:r>
      <w:r w:rsidR="00B4640B">
        <w:rPr>
          <w:rFonts w:ascii="Arial" w:eastAsia="Times New Roman" w:hAnsi="Arial" w:cs="Arial"/>
          <w:b/>
          <w:bCs/>
          <w:color w:val="3B3838"/>
          <w:sz w:val="24"/>
          <w:szCs w:val="24"/>
          <w:u w:val="single"/>
          <w:lang w:eastAsia="en-GB"/>
        </w:rPr>
        <w:t>O</w:t>
      </w:r>
      <w:r w:rsidRPr="00184EEB">
        <w:rPr>
          <w:rFonts w:ascii="Arial" w:eastAsia="Times New Roman" w:hAnsi="Arial" w:cs="Arial"/>
          <w:b/>
          <w:bCs/>
          <w:color w:val="3B3838"/>
          <w:sz w:val="24"/>
          <w:szCs w:val="24"/>
          <w:u w:val="single"/>
          <w:lang w:eastAsia="en-GB"/>
        </w:rPr>
        <w:t>L</w:t>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1. </w:t>
      </w:r>
      <w:bookmarkStart w:id="1" w:name="description"/>
      <w:bookmarkEnd w:id="1"/>
      <w:r w:rsidRPr="00184EEB">
        <w:rPr>
          <w:rFonts w:ascii="Arial" w:eastAsia="Times New Roman" w:hAnsi="Arial" w:cs="Arial"/>
          <w:b/>
          <w:bCs/>
          <w:color w:val="3B3838"/>
          <w:sz w:val="24"/>
          <w:szCs w:val="24"/>
          <w:lang w:eastAsia="en-GB"/>
        </w:rPr>
        <w:t>Description</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 xml:space="preserve">The Children's Social Care </w:t>
      </w:r>
      <w:r w:rsidR="003227D8" w:rsidRPr="00184EEB">
        <w:rPr>
          <w:rFonts w:ascii="Arial" w:eastAsia="Times New Roman" w:hAnsi="Arial" w:cs="Arial"/>
          <w:color w:val="3B3838"/>
          <w:sz w:val="24"/>
          <w:szCs w:val="24"/>
          <w:lang w:eastAsia="en-GB"/>
        </w:rPr>
        <w:t>Service provides</w:t>
      </w:r>
      <w:r w:rsidRPr="00184EEB">
        <w:rPr>
          <w:rFonts w:ascii="Arial" w:eastAsia="Times New Roman" w:hAnsi="Arial" w:cs="Arial"/>
          <w:color w:val="3B3838"/>
          <w:sz w:val="24"/>
          <w:szCs w:val="24"/>
          <w:lang w:eastAsia="en-GB"/>
        </w:rPr>
        <w:t xml:space="preserve"> a range of services from within a number of specialist social work teams. In a number of different situations, case responsibility for providing services to a child / young person and their family may move between teams. Cases will be allocated to the team based on the specialist remit of the team. A number of guiding principles underpin this process:</w:t>
      </w:r>
    </w:p>
    <w:p w:rsidR="00FF5DA9" w:rsidRPr="00184EEB" w:rsidRDefault="00FF5DA9" w:rsidP="00FF5DA9">
      <w:pPr>
        <w:numPr>
          <w:ilvl w:val="0"/>
          <w:numId w:val="6"/>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That transfer of casework responsibility should be carried out with the child / young person and their family's best interests in mind;</w:t>
      </w:r>
    </w:p>
    <w:p w:rsidR="00FF5DA9" w:rsidRPr="00184EEB" w:rsidRDefault="00FF5DA9" w:rsidP="00FF5DA9">
      <w:pPr>
        <w:numPr>
          <w:ilvl w:val="0"/>
          <w:numId w:val="6"/>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That transfer of cases needs to meet certain standards of recording, assessment and information to allow the receiving service to see any immediate needs, assessments and plans required to keep the child safe;</w:t>
      </w:r>
    </w:p>
    <w:p w:rsidR="00FF5DA9" w:rsidRPr="00184EEB" w:rsidRDefault="00FF5DA9" w:rsidP="00FF5DA9">
      <w:pPr>
        <w:numPr>
          <w:ilvl w:val="0"/>
          <w:numId w:val="6"/>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That transfer of cases needs to be fully shared with the family, carer and other involved agencies. It is good practice for there to be a handover meeting between the old and new social worker and including the child and family; </w:t>
      </w:r>
    </w:p>
    <w:p w:rsidR="00FF5DA9" w:rsidRPr="00184EEB" w:rsidRDefault="00FF5DA9" w:rsidP="00FF5DA9">
      <w:pPr>
        <w:numPr>
          <w:ilvl w:val="0"/>
          <w:numId w:val="6"/>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That procedures will not cover every case situation and in exceptional cases it is expected that Managers will negotiate individual decisions based on the child’s best interests;</w:t>
      </w:r>
    </w:p>
    <w:p w:rsidR="00FF5DA9" w:rsidRPr="00184EEB" w:rsidRDefault="00FF5DA9" w:rsidP="00FF5DA9">
      <w:pPr>
        <w:numPr>
          <w:ilvl w:val="0"/>
          <w:numId w:val="6"/>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That in the event of any case transfer proves particularly complex, and cannot be sorted between Managers, then this is referred to the relevant Head of Service for action; </w:t>
      </w:r>
    </w:p>
    <w:p w:rsidR="00FF5DA9" w:rsidRPr="00AB23EB" w:rsidRDefault="00FF5DA9" w:rsidP="00FF5DA9">
      <w:pPr>
        <w:numPr>
          <w:ilvl w:val="0"/>
          <w:numId w:val="6"/>
        </w:numPr>
        <w:shd w:val="clear" w:color="auto" w:fill="FFFFFF"/>
        <w:spacing w:before="192" w:after="192" w:line="252" w:lineRule="atLeast"/>
        <w:rPr>
          <w:rFonts w:ascii="Arial" w:eastAsia="Times New Roman" w:hAnsi="Arial" w:cs="Arial"/>
          <w:sz w:val="24"/>
          <w:szCs w:val="24"/>
          <w:lang w:eastAsia="en-GB"/>
        </w:rPr>
      </w:pPr>
      <w:r w:rsidRPr="00184EEB">
        <w:rPr>
          <w:rFonts w:ascii="Arial" w:eastAsia="Times New Roman" w:hAnsi="Arial" w:cs="Arial"/>
          <w:color w:val="3B3838"/>
          <w:sz w:val="24"/>
          <w:szCs w:val="24"/>
          <w:lang w:eastAsia="en-GB"/>
        </w:rPr>
        <w:t xml:space="preserve">That if there are specific workload / staffing issues that impact on a case transfer then this is referred to the relevant  </w:t>
      </w:r>
      <w:r w:rsidR="003A1E21" w:rsidRPr="00AB23EB">
        <w:rPr>
          <w:rFonts w:ascii="Arial" w:eastAsia="Times New Roman" w:hAnsi="Arial" w:cs="Arial"/>
          <w:sz w:val="24"/>
          <w:szCs w:val="24"/>
          <w:lang w:eastAsia="en-GB"/>
        </w:rPr>
        <w:t xml:space="preserve">Senior </w:t>
      </w:r>
      <w:r w:rsidRPr="00AB23EB">
        <w:rPr>
          <w:rFonts w:ascii="Arial" w:eastAsia="Times New Roman" w:hAnsi="Arial" w:cs="Arial"/>
          <w:sz w:val="24"/>
          <w:szCs w:val="24"/>
          <w:lang w:eastAsia="en-GB"/>
        </w:rPr>
        <w:t>Manager for action;</w:t>
      </w:r>
    </w:p>
    <w:p w:rsidR="00FF5DA9" w:rsidRPr="00184EEB" w:rsidRDefault="00FF5DA9" w:rsidP="00FF5DA9">
      <w:pPr>
        <w:numPr>
          <w:ilvl w:val="0"/>
          <w:numId w:val="6"/>
        </w:numPr>
        <w:shd w:val="clear" w:color="auto" w:fill="FFFFFF"/>
        <w:spacing w:before="192" w:after="192" w:line="252" w:lineRule="atLeast"/>
        <w:rPr>
          <w:rFonts w:ascii="Arial" w:eastAsia="Times New Roman" w:hAnsi="Arial" w:cs="Arial"/>
          <w:color w:val="3B3838"/>
          <w:sz w:val="24"/>
          <w:szCs w:val="24"/>
          <w:lang w:eastAsia="en-GB"/>
        </w:rPr>
      </w:pPr>
      <w:r w:rsidRPr="00AB23EB">
        <w:rPr>
          <w:rFonts w:ascii="Arial" w:eastAsia="Times New Roman" w:hAnsi="Arial" w:cs="Arial"/>
          <w:sz w:val="24"/>
          <w:szCs w:val="24"/>
          <w:lang w:eastAsia="en-GB"/>
        </w:rPr>
        <w:t xml:space="preserve">At no point should a child assessed as needing a service is unallocated. Any unallocated cases must be reported to the relevant </w:t>
      </w:r>
      <w:r w:rsidR="003A1E21" w:rsidRPr="00AB23EB">
        <w:rPr>
          <w:rFonts w:ascii="Arial" w:eastAsia="Times New Roman" w:hAnsi="Arial" w:cs="Arial"/>
          <w:sz w:val="24"/>
          <w:szCs w:val="24"/>
          <w:lang w:eastAsia="en-GB"/>
        </w:rPr>
        <w:t>Senior</w:t>
      </w:r>
      <w:r w:rsidRPr="00AB23EB">
        <w:rPr>
          <w:rFonts w:ascii="Arial" w:eastAsia="Times New Roman" w:hAnsi="Arial" w:cs="Arial"/>
          <w:sz w:val="24"/>
          <w:szCs w:val="24"/>
          <w:lang w:eastAsia="en-GB"/>
        </w:rPr>
        <w:t xml:space="preserve"> </w:t>
      </w:r>
      <w:r w:rsidRPr="00184EEB">
        <w:rPr>
          <w:rFonts w:ascii="Arial" w:eastAsia="Times New Roman" w:hAnsi="Arial" w:cs="Arial"/>
          <w:color w:val="3B3838"/>
          <w:sz w:val="24"/>
          <w:szCs w:val="24"/>
          <w:lang w:eastAsia="en-GB"/>
        </w:rPr>
        <w:t>Manager by the Manager.</w:t>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2. </w:t>
      </w:r>
      <w:bookmarkStart w:id="2" w:name="transfer"/>
      <w:bookmarkEnd w:id="2"/>
      <w:r w:rsidRPr="00184EEB">
        <w:rPr>
          <w:rFonts w:ascii="Arial" w:eastAsia="Times New Roman" w:hAnsi="Arial" w:cs="Arial"/>
          <w:b/>
          <w:bCs/>
          <w:color w:val="3B3838"/>
          <w:sz w:val="24"/>
          <w:szCs w:val="24"/>
          <w:lang w:eastAsia="en-GB"/>
        </w:rPr>
        <w:t>Transfers</w:t>
      </w:r>
    </w:p>
    <w:p w:rsidR="00FF5DA9" w:rsidRPr="00AB23EB" w:rsidRDefault="00FF5DA9" w:rsidP="00FF5DA9">
      <w:pPr>
        <w:shd w:val="clear" w:color="auto" w:fill="FFFFFF"/>
        <w:spacing w:before="100" w:beforeAutospacing="1" w:after="100" w:afterAutospacing="1" w:line="252" w:lineRule="atLeast"/>
        <w:outlineLvl w:val="2"/>
        <w:rPr>
          <w:rFonts w:ascii="Arial" w:eastAsia="Times New Roman" w:hAnsi="Arial" w:cs="Arial"/>
          <w:b/>
          <w:bCs/>
          <w:color w:val="FF0000"/>
          <w:sz w:val="24"/>
          <w:szCs w:val="24"/>
          <w:lang w:eastAsia="en-GB"/>
        </w:rPr>
      </w:pPr>
      <w:r w:rsidRPr="00184EEB">
        <w:rPr>
          <w:rFonts w:ascii="Arial" w:eastAsia="Times New Roman" w:hAnsi="Arial" w:cs="Arial"/>
          <w:b/>
          <w:bCs/>
          <w:color w:val="3B3838"/>
          <w:sz w:val="24"/>
          <w:szCs w:val="24"/>
          <w:lang w:eastAsia="en-GB"/>
        </w:rPr>
        <w:lastRenderedPageBreak/>
        <w:t xml:space="preserve">Between </w:t>
      </w:r>
      <w:r w:rsidRPr="00184EEB">
        <w:rPr>
          <w:rFonts w:ascii="Arial" w:hAnsi="Arial" w:cs="Arial"/>
          <w:b/>
          <w:color w:val="3B3838"/>
          <w:sz w:val="24"/>
          <w:szCs w:val="24"/>
        </w:rPr>
        <w:t>Assessment &amp; Safeguarding</w:t>
      </w:r>
      <w:r w:rsidR="00AB23EB">
        <w:rPr>
          <w:rFonts w:ascii="Arial" w:hAnsi="Arial" w:cs="Arial"/>
          <w:b/>
          <w:color w:val="3B3838"/>
          <w:sz w:val="24"/>
          <w:szCs w:val="24"/>
        </w:rPr>
        <w:t xml:space="preserve"> </w:t>
      </w:r>
      <w:r w:rsidR="003A1E21" w:rsidRPr="00AB23EB">
        <w:rPr>
          <w:rFonts w:ascii="Arial" w:eastAsia="Times New Roman" w:hAnsi="Arial" w:cs="Arial"/>
          <w:b/>
          <w:bCs/>
          <w:sz w:val="24"/>
          <w:szCs w:val="24"/>
          <w:lang w:eastAsia="en-GB"/>
        </w:rPr>
        <w:t xml:space="preserve">and CP &amp; Court team </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The following cases are to be transferred:</w:t>
      </w:r>
    </w:p>
    <w:p w:rsidR="00FF5DA9" w:rsidRPr="00184EEB" w:rsidRDefault="00FF5DA9" w:rsidP="00FF5DA9">
      <w:pPr>
        <w:numPr>
          <w:ilvl w:val="0"/>
          <w:numId w:val="7"/>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Where children have become subject to a Child Protection Plan, the transfer will take place at the first ICPCC;</w:t>
      </w:r>
    </w:p>
    <w:p w:rsidR="00FF5DA9" w:rsidRPr="00184EEB" w:rsidRDefault="00FF5DA9" w:rsidP="00FF5DA9">
      <w:pPr>
        <w:numPr>
          <w:ilvl w:val="0"/>
          <w:numId w:val="7"/>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Where a child is made the subject of a child protection plan pre-birth the case will transfer at the pre-birth conference. This should be at the earliest opportunity following the completion of the assessment but not before 24 weeks gestation;</w:t>
      </w:r>
    </w:p>
    <w:p w:rsidR="00FF5DA9" w:rsidRPr="00184EEB" w:rsidRDefault="00FF5DA9" w:rsidP="00FF5DA9">
      <w:pPr>
        <w:numPr>
          <w:ilvl w:val="0"/>
          <w:numId w:val="7"/>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Where a child also has a LAC status, the first LAC Review must have taken place;</w:t>
      </w:r>
    </w:p>
    <w:p w:rsidR="00FF5DA9" w:rsidRPr="00184EEB" w:rsidRDefault="00FF5DA9" w:rsidP="00FF5DA9">
      <w:pPr>
        <w:numPr>
          <w:ilvl w:val="0"/>
          <w:numId w:val="7"/>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Children in Need cases where an assessment has been completed and further intervention is required from social care because the child/</w:t>
      </w:r>
      <w:r w:rsidRPr="00AB23EB">
        <w:rPr>
          <w:rFonts w:ascii="Arial" w:eastAsia="Times New Roman" w:hAnsi="Arial" w:cs="Arial"/>
          <w:sz w:val="24"/>
          <w:szCs w:val="24"/>
          <w:lang w:eastAsia="en-GB"/>
        </w:rPr>
        <w:t xml:space="preserve">ren have multiple or complex needs. Cases should not be transferred to the </w:t>
      </w:r>
      <w:r w:rsidR="003A1E21" w:rsidRPr="00AB23EB">
        <w:rPr>
          <w:rFonts w:ascii="Arial" w:eastAsia="Times New Roman" w:hAnsi="Arial" w:cs="Arial"/>
          <w:sz w:val="24"/>
          <w:szCs w:val="24"/>
          <w:lang w:eastAsia="en-GB"/>
        </w:rPr>
        <w:t>CP &amp; court</w:t>
      </w:r>
      <w:r w:rsidRPr="00AB23EB">
        <w:rPr>
          <w:rFonts w:ascii="Arial" w:eastAsia="Times New Roman" w:hAnsi="Arial" w:cs="Arial"/>
          <w:sz w:val="24"/>
          <w:szCs w:val="24"/>
          <w:lang w:eastAsia="en-GB"/>
        </w:rPr>
        <w:t xml:space="preserve"> </w:t>
      </w:r>
      <w:r w:rsidRPr="00184EEB">
        <w:rPr>
          <w:rFonts w:ascii="Arial" w:eastAsia="Times New Roman" w:hAnsi="Arial" w:cs="Arial"/>
          <w:color w:val="3B3838"/>
          <w:sz w:val="24"/>
          <w:szCs w:val="24"/>
          <w:lang w:eastAsia="en-GB"/>
        </w:rPr>
        <w:t xml:space="preserve">team if there are needs identified through the assessment that can be met through the use of universal or targeted services and the use of the step-down procedure. Cases will transfer with an outline CIN plan once the assessment is complete. </w:t>
      </w:r>
    </w:p>
    <w:p w:rsidR="00FF5DA9" w:rsidRPr="00AB23EB" w:rsidRDefault="00FF5DA9" w:rsidP="00FF5DA9">
      <w:pPr>
        <w:shd w:val="clear" w:color="auto" w:fill="FFFFFF"/>
        <w:spacing w:before="100" w:beforeAutospacing="1" w:after="100" w:afterAutospacing="1" w:line="252" w:lineRule="atLeast"/>
        <w:outlineLvl w:val="2"/>
        <w:rPr>
          <w:rFonts w:ascii="Arial" w:eastAsia="Times New Roman" w:hAnsi="Arial" w:cs="Arial"/>
          <w:b/>
          <w:bCs/>
          <w:sz w:val="24"/>
          <w:szCs w:val="24"/>
          <w:lang w:eastAsia="en-GB"/>
        </w:rPr>
      </w:pPr>
      <w:r w:rsidRPr="00184EEB">
        <w:rPr>
          <w:rFonts w:ascii="Arial" w:eastAsia="Times New Roman" w:hAnsi="Arial" w:cs="Arial"/>
          <w:b/>
          <w:bCs/>
          <w:color w:val="3B3838"/>
          <w:sz w:val="24"/>
          <w:szCs w:val="24"/>
          <w:lang w:eastAsia="en-GB"/>
        </w:rPr>
        <w:t xml:space="preserve">Between </w:t>
      </w:r>
      <w:r w:rsidRPr="00184EEB">
        <w:rPr>
          <w:rFonts w:ascii="Arial" w:hAnsi="Arial" w:cs="Arial"/>
          <w:b/>
          <w:color w:val="3B3838"/>
          <w:sz w:val="24"/>
          <w:szCs w:val="24"/>
        </w:rPr>
        <w:t>Assessment &amp; Safeguarding/</w:t>
      </w:r>
      <w:r w:rsidR="003A1E21">
        <w:rPr>
          <w:rFonts w:ascii="Arial" w:eastAsia="Times New Roman" w:hAnsi="Arial" w:cs="Arial"/>
          <w:b/>
          <w:bCs/>
          <w:strike/>
          <w:color w:val="3B3838"/>
          <w:sz w:val="24"/>
          <w:szCs w:val="24"/>
          <w:lang w:eastAsia="en-GB"/>
        </w:rPr>
        <w:t xml:space="preserve"> </w:t>
      </w:r>
      <w:r w:rsidR="003A1E21" w:rsidRPr="00AB23EB">
        <w:rPr>
          <w:rFonts w:ascii="Arial" w:eastAsia="Times New Roman" w:hAnsi="Arial" w:cs="Arial"/>
          <w:b/>
          <w:bCs/>
          <w:sz w:val="24"/>
          <w:szCs w:val="24"/>
          <w:lang w:eastAsia="en-GB"/>
        </w:rPr>
        <w:t>CP &amp; Court team</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The following cases are to be transferred:</w:t>
      </w:r>
    </w:p>
    <w:p w:rsidR="00FF5DA9" w:rsidRPr="00184EEB" w:rsidRDefault="00FF5DA9" w:rsidP="00FF5DA9">
      <w:pPr>
        <w:numPr>
          <w:ilvl w:val="0"/>
          <w:numId w:val="8"/>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Where children are looked after under section 20 of the Children Act 1989, have not returned home within 28 days, and after the completion of the first review and assessment;</w:t>
      </w:r>
    </w:p>
    <w:p w:rsidR="00736B0D" w:rsidRPr="00AB23EB" w:rsidRDefault="00736B0D" w:rsidP="00FF5DA9">
      <w:pPr>
        <w:numPr>
          <w:ilvl w:val="0"/>
          <w:numId w:val="8"/>
        </w:numPr>
        <w:shd w:val="clear" w:color="auto" w:fill="FFFFFF"/>
        <w:spacing w:before="192" w:after="192" w:line="252" w:lineRule="atLeast"/>
        <w:rPr>
          <w:rFonts w:ascii="Arial" w:eastAsia="Times New Roman" w:hAnsi="Arial" w:cs="Arial"/>
          <w:strike/>
          <w:sz w:val="24"/>
          <w:szCs w:val="24"/>
          <w:lang w:eastAsia="en-GB"/>
        </w:rPr>
      </w:pPr>
      <w:r w:rsidRPr="00AB23EB">
        <w:rPr>
          <w:rFonts w:ascii="Arial" w:eastAsia="Times New Roman" w:hAnsi="Arial" w:cs="Arial"/>
          <w:sz w:val="24"/>
          <w:szCs w:val="24"/>
          <w:lang w:eastAsia="en-GB"/>
        </w:rPr>
        <w:t>Where care proceedings have been issued, the case will transfer at the first court hearing.</w:t>
      </w:r>
    </w:p>
    <w:p w:rsidR="00FF5DA9" w:rsidRPr="00736B0D" w:rsidRDefault="00FF5DA9" w:rsidP="00FF5DA9">
      <w:pPr>
        <w:shd w:val="clear" w:color="auto" w:fill="FFFFFF"/>
        <w:spacing w:before="100" w:beforeAutospacing="1" w:after="100" w:afterAutospacing="1" w:line="252" w:lineRule="atLeast"/>
        <w:outlineLvl w:val="2"/>
        <w:rPr>
          <w:rFonts w:ascii="Arial" w:eastAsia="Times New Roman" w:hAnsi="Arial" w:cs="Arial"/>
          <w:b/>
          <w:bCs/>
          <w:color w:val="3B3838"/>
          <w:sz w:val="24"/>
          <w:szCs w:val="24"/>
          <w:lang w:eastAsia="en-GB"/>
        </w:rPr>
      </w:pPr>
      <w:r w:rsidRPr="00736B0D">
        <w:rPr>
          <w:rFonts w:ascii="Arial" w:eastAsia="Times New Roman" w:hAnsi="Arial" w:cs="Arial"/>
          <w:b/>
          <w:bCs/>
          <w:color w:val="3B3838"/>
          <w:sz w:val="24"/>
          <w:szCs w:val="24"/>
          <w:lang w:eastAsia="en-GB"/>
        </w:rPr>
        <w:t xml:space="preserve">Between </w:t>
      </w:r>
      <w:r w:rsidR="00736B0D" w:rsidRPr="00AB23EB">
        <w:rPr>
          <w:rFonts w:ascii="Arial" w:eastAsia="Times New Roman" w:hAnsi="Arial" w:cs="Arial"/>
          <w:b/>
          <w:bCs/>
          <w:sz w:val="24"/>
          <w:szCs w:val="24"/>
          <w:lang w:eastAsia="en-GB"/>
        </w:rPr>
        <w:t xml:space="preserve">CP &amp; Court Team </w:t>
      </w:r>
      <w:r w:rsidRPr="00736B0D">
        <w:rPr>
          <w:rFonts w:ascii="Arial" w:eastAsia="Times New Roman" w:hAnsi="Arial" w:cs="Arial"/>
          <w:b/>
          <w:bCs/>
          <w:color w:val="3B3838"/>
          <w:sz w:val="24"/>
          <w:szCs w:val="24"/>
          <w:lang w:eastAsia="en-GB"/>
        </w:rPr>
        <w:t>and the CIOC Team</w:t>
      </w:r>
    </w:p>
    <w:p w:rsidR="00FF5DA9" w:rsidRPr="00736B0D"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736B0D">
        <w:rPr>
          <w:rFonts w:ascii="Arial" w:eastAsia="Times New Roman" w:hAnsi="Arial" w:cs="Arial"/>
          <w:color w:val="3B3838"/>
          <w:sz w:val="24"/>
          <w:szCs w:val="24"/>
          <w:lang w:eastAsia="en-GB"/>
        </w:rPr>
        <w:t>The following cases are to be transferred:</w:t>
      </w:r>
    </w:p>
    <w:p w:rsidR="00FF5DA9" w:rsidRPr="00184EEB" w:rsidRDefault="00FF5DA9" w:rsidP="00FF5DA9">
      <w:pPr>
        <w:numPr>
          <w:ilvl w:val="0"/>
          <w:numId w:val="9"/>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lastRenderedPageBreak/>
        <w:t>Where care proceedings have been completed and the plans for the child involve permanency through a planned return home, long-term foster or residential care, kinship care</w:t>
      </w:r>
      <w:r w:rsidR="00B61589">
        <w:rPr>
          <w:rFonts w:ascii="Arial" w:eastAsia="Times New Roman" w:hAnsi="Arial" w:cs="Arial"/>
          <w:color w:val="3B3838"/>
          <w:sz w:val="24"/>
          <w:szCs w:val="24"/>
          <w:lang w:eastAsia="en-GB"/>
        </w:rPr>
        <w:t xml:space="preserve"> c</w:t>
      </w:r>
      <w:r w:rsidRPr="00184EEB">
        <w:rPr>
          <w:rFonts w:ascii="Arial" w:eastAsia="Times New Roman" w:hAnsi="Arial" w:cs="Arial"/>
          <w:color w:val="3B3838"/>
          <w:sz w:val="24"/>
          <w:szCs w:val="24"/>
          <w:lang w:eastAsia="en-GB"/>
        </w:rPr>
        <w:t>ases should transfer at point of conclusion of care proceedings. Six weeks before final hearing there should be a pre-transfer discussion between managers and planned handover of the case;</w:t>
      </w:r>
    </w:p>
    <w:p w:rsidR="00736B0D" w:rsidRDefault="00736B0D" w:rsidP="00AB23EB">
      <w:pPr>
        <w:shd w:val="clear" w:color="auto" w:fill="FFFFFF"/>
        <w:spacing w:before="192" w:after="192" w:line="252" w:lineRule="atLeast"/>
        <w:rPr>
          <w:rFonts w:ascii="Arial" w:eastAsia="Times New Roman" w:hAnsi="Arial" w:cs="Arial"/>
          <w:color w:val="3B3838"/>
          <w:sz w:val="24"/>
          <w:szCs w:val="24"/>
          <w:lang w:eastAsia="en-GB"/>
        </w:rPr>
      </w:pPr>
    </w:p>
    <w:p w:rsidR="00736B0D" w:rsidRPr="00AB23EB" w:rsidRDefault="00736B0D" w:rsidP="00AB23EB">
      <w:pPr>
        <w:shd w:val="clear" w:color="auto" w:fill="FFFFFF"/>
        <w:spacing w:before="192" w:after="192" w:line="252" w:lineRule="atLeast"/>
        <w:rPr>
          <w:rFonts w:ascii="Arial" w:eastAsia="Times New Roman" w:hAnsi="Arial" w:cs="Arial"/>
          <w:b/>
          <w:sz w:val="24"/>
          <w:szCs w:val="24"/>
          <w:lang w:eastAsia="en-GB"/>
        </w:rPr>
      </w:pPr>
      <w:r w:rsidRPr="00AB23EB">
        <w:rPr>
          <w:rFonts w:ascii="Arial" w:eastAsia="Times New Roman" w:hAnsi="Arial" w:cs="Arial"/>
          <w:b/>
          <w:sz w:val="24"/>
          <w:szCs w:val="24"/>
          <w:lang w:eastAsia="en-GB"/>
        </w:rPr>
        <w:t>Between the Assessment and Safeguarding Team and CIOC team</w:t>
      </w:r>
    </w:p>
    <w:p w:rsidR="00736B0D" w:rsidRPr="00AB23EB" w:rsidRDefault="00736B0D" w:rsidP="00736B0D">
      <w:pPr>
        <w:numPr>
          <w:ilvl w:val="0"/>
          <w:numId w:val="9"/>
        </w:numPr>
        <w:shd w:val="clear" w:color="auto" w:fill="FFFFFF"/>
        <w:spacing w:before="192" w:after="192" w:line="252" w:lineRule="atLeast"/>
        <w:rPr>
          <w:rFonts w:ascii="Arial" w:eastAsia="Times New Roman" w:hAnsi="Arial" w:cs="Arial"/>
          <w:sz w:val="24"/>
          <w:szCs w:val="24"/>
          <w:lang w:eastAsia="en-GB"/>
        </w:rPr>
      </w:pPr>
      <w:r w:rsidRPr="00AB23EB">
        <w:rPr>
          <w:rFonts w:ascii="Arial" w:eastAsia="Times New Roman" w:hAnsi="Arial" w:cs="Arial"/>
          <w:sz w:val="24"/>
          <w:szCs w:val="24"/>
          <w:lang w:eastAsia="en-GB"/>
        </w:rPr>
        <w:t>Where children are looked after under Section 20 of the Children Act 1989, have not returned home within 28 days, and after the completion of the first review and assessment; unless there is an imminent established return home plan agreed.</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b/>
          <w:color w:val="3B3838"/>
          <w:sz w:val="24"/>
          <w:szCs w:val="24"/>
          <w:lang w:eastAsia="en-GB"/>
        </w:rPr>
      </w:pPr>
      <w:r w:rsidRPr="00184EEB">
        <w:rPr>
          <w:rFonts w:ascii="Arial" w:eastAsia="Times New Roman" w:hAnsi="Arial" w:cs="Arial"/>
          <w:b/>
          <w:color w:val="3B3838"/>
          <w:sz w:val="24"/>
          <w:szCs w:val="24"/>
          <w:lang w:eastAsia="en-GB"/>
        </w:rPr>
        <w:t>Between the CSW Team and the leaving care team</w:t>
      </w:r>
    </w:p>
    <w:p w:rsidR="00FF5DA9" w:rsidRPr="00AB23EB" w:rsidRDefault="00736B0D"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Cs/>
          <w:color w:val="FF0000"/>
          <w:sz w:val="24"/>
          <w:szCs w:val="24"/>
          <w:lang w:eastAsia="en-GB"/>
        </w:rPr>
      </w:pPr>
      <w:r w:rsidRPr="00AB23EB">
        <w:rPr>
          <w:rFonts w:ascii="Arial" w:eastAsia="Times New Roman" w:hAnsi="Arial" w:cs="Arial"/>
          <w:bCs/>
          <w:sz w:val="24"/>
          <w:szCs w:val="24"/>
          <w:lang w:eastAsia="en-GB"/>
        </w:rPr>
        <w:t xml:space="preserve">The Leaving care team will be notified when a young person is 15 ¾ and a Personal advisor will be co-allocated </w:t>
      </w:r>
    </w:p>
    <w:p w:rsidR="00FF5DA9"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Cs/>
          <w:color w:val="3B3838"/>
          <w:sz w:val="24"/>
          <w:szCs w:val="24"/>
          <w:lang w:eastAsia="en-GB"/>
        </w:rPr>
      </w:pPr>
      <w:r w:rsidRPr="00184EEB">
        <w:rPr>
          <w:rFonts w:ascii="Arial" w:eastAsia="Times New Roman" w:hAnsi="Arial" w:cs="Arial"/>
          <w:bCs/>
          <w:color w:val="3B3838"/>
          <w:sz w:val="24"/>
          <w:szCs w:val="24"/>
          <w:lang w:eastAsia="en-GB"/>
        </w:rPr>
        <w:t xml:space="preserve">The social worker from the </w:t>
      </w:r>
      <w:r w:rsidR="00736B0D">
        <w:rPr>
          <w:rFonts w:ascii="Arial" w:eastAsia="Times New Roman" w:hAnsi="Arial" w:cs="Arial"/>
          <w:bCs/>
          <w:color w:val="3B3838"/>
          <w:sz w:val="24"/>
          <w:szCs w:val="24"/>
          <w:lang w:eastAsia="en-GB"/>
        </w:rPr>
        <w:t>CIOC</w:t>
      </w:r>
      <w:r w:rsidRPr="00184EEB">
        <w:rPr>
          <w:rFonts w:ascii="Arial" w:eastAsia="Times New Roman" w:hAnsi="Arial" w:cs="Arial"/>
          <w:bCs/>
          <w:color w:val="3B3838"/>
          <w:sz w:val="24"/>
          <w:szCs w:val="24"/>
          <w:lang w:eastAsia="en-GB"/>
        </w:rPr>
        <w:t xml:space="preserve"> will remain the lead worker until 18 years old.</w:t>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3. </w:t>
      </w:r>
      <w:bookmarkStart w:id="3" w:name="trans_stand"/>
      <w:bookmarkEnd w:id="3"/>
      <w:r w:rsidRPr="00184EEB">
        <w:rPr>
          <w:rFonts w:ascii="Arial" w:eastAsia="Times New Roman" w:hAnsi="Arial" w:cs="Arial"/>
          <w:b/>
          <w:bCs/>
          <w:color w:val="3B3838"/>
          <w:sz w:val="24"/>
          <w:szCs w:val="24"/>
          <w:lang w:eastAsia="en-GB"/>
        </w:rPr>
        <w:t>Transfer Standards</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The TM</w:t>
      </w:r>
      <w:r w:rsidR="004C53B5" w:rsidRPr="004C53B5">
        <w:rPr>
          <w:rFonts w:ascii="Arial" w:eastAsia="Times New Roman" w:hAnsi="Arial" w:cs="Arial"/>
          <w:sz w:val="24"/>
          <w:szCs w:val="24"/>
          <w:lang w:eastAsia="en-GB"/>
        </w:rPr>
        <w:t>/PM</w:t>
      </w:r>
      <w:r w:rsidRPr="004C53B5">
        <w:rPr>
          <w:rFonts w:ascii="Arial" w:eastAsia="Times New Roman" w:hAnsi="Arial" w:cs="Arial"/>
          <w:sz w:val="24"/>
          <w:szCs w:val="24"/>
          <w:lang w:eastAsia="en-GB"/>
        </w:rPr>
        <w:t xml:space="preserve"> </w:t>
      </w:r>
      <w:r w:rsidRPr="00184EEB">
        <w:rPr>
          <w:rFonts w:ascii="Arial" w:eastAsia="Times New Roman" w:hAnsi="Arial" w:cs="Arial"/>
          <w:color w:val="3B3838"/>
          <w:sz w:val="24"/>
          <w:szCs w:val="24"/>
          <w:lang w:eastAsia="en-GB"/>
        </w:rPr>
        <w:t>should agree any outstanding work which needs to be completed before the transfer</w:t>
      </w:r>
      <w:r w:rsidR="00AB23EB">
        <w:rPr>
          <w:rFonts w:ascii="Arial" w:eastAsia="Times New Roman" w:hAnsi="Arial" w:cs="Arial"/>
          <w:color w:val="3B3838"/>
          <w:sz w:val="24"/>
          <w:szCs w:val="24"/>
          <w:lang w:eastAsia="en-GB"/>
        </w:rPr>
        <w:t xml:space="preserve"> and </w:t>
      </w:r>
      <w:r w:rsidRPr="00184EEB">
        <w:rPr>
          <w:rFonts w:ascii="Arial" w:eastAsia="Times New Roman" w:hAnsi="Arial" w:cs="Arial"/>
          <w:color w:val="3B3838"/>
          <w:sz w:val="24"/>
          <w:szCs w:val="24"/>
          <w:lang w:eastAsia="en-GB"/>
        </w:rPr>
        <w:t>will discuss the case and agree a time for the case transfer to take place.</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In certain cases there should be an agreement between the two managers around a period of joint work, including a joint visit, although if the worker with knowledge of the case no longer works in the team this many not be necessary.</w:t>
      </w:r>
    </w:p>
    <w:p w:rsidR="00FF5DA9" w:rsidRPr="00AB23EB" w:rsidRDefault="00FF5DA9" w:rsidP="00FF5DA9">
      <w:pPr>
        <w:numPr>
          <w:ilvl w:val="0"/>
          <w:numId w:val="11"/>
        </w:numPr>
        <w:shd w:val="clear" w:color="auto" w:fill="FFFFFF"/>
        <w:spacing w:before="192" w:after="192" w:line="252" w:lineRule="atLeast"/>
        <w:rPr>
          <w:rFonts w:ascii="Arial" w:eastAsia="Times New Roman" w:hAnsi="Arial" w:cs="Arial"/>
          <w:sz w:val="24"/>
          <w:szCs w:val="24"/>
          <w:lang w:eastAsia="en-GB"/>
        </w:rPr>
      </w:pPr>
      <w:r w:rsidRPr="00184EEB">
        <w:rPr>
          <w:rFonts w:ascii="Arial" w:eastAsia="Times New Roman" w:hAnsi="Arial" w:cs="Arial"/>
          <w:color w:val="3B3838"/>
          <w:sz w:val="24"/>
          <w:szCs w:val="24"/>
          <w:lang w:eastAsia="en-GB"/>
        </w:rPr>
        <w:t>All transferring cases </w:t>
      </w:r>
      <w:r w:rsidRPr="00184EEB">
        <w:rPr>
          <w:rFonts w:ascii="Arial" w:eastAsia="Times New Roman" w:hAnsi="Arial" w:cs="Arial"/>
          <w:b/>
          <w:bCs/>
          <w:color w:val="3B3838"/>
          <w:sz w:val="24"/>
          <w:szCs w:val="24"/>
          <w:lang w:eastAsia="en-GB"/>
        </w:rPr>
        <w:t>must</w:t>
      </w:r>
      <w:r w:rsidRPr="00184EEB">
        <w:rPr>
          <w:rFonts w:ascii="Arial" w:eastAsia="Times New Roman" w:hAnsi="Arial" w:cs="Arial"/>
          <w:color w:val="3B3838"/>
          <w:sz w:val="24"/>
          <w:szCs w:val="24"/>
          <w:lang w:eastAsia="en-GB"/>
        </w:rPr>
        <w:t> have a completed Case Summary</w:t>
      </w:r>
      <w:r>
        <w:rPr>
          <w:rFonts w:ascii="Arial" w:eastAsia="Times New Roman" w:hAnsi="Arial" w:cs="Arial"/>
          <w:color w:val="3B3838"/>
          <w:sz w:val="24"/>
          <w:szCs w:val="24"/>
          <w:lang w:eastAsia="en-GB"/>
        </w:rPr>
        <w:t xml:space="preserve"> </w:t>
      </w:r>
      <w:r w:rsidRPr="00184EEB">
        <w:rPr>
          <w:rFonts w:ascii="Arial" w:eastAsia="Times New Roman" w:hAnsi="Arial" w:cs="Arial"/>
          <w:color w:val="3B3838"/>
          <w:sz w:val="24"/>
          <w:szCs w:val="24"/>
          <w:lang w:eastAsia="en-GB"/>
        </w:rPr>
        <w:t>form for each child, checked by</w:t>
      </w:r>
      <w:r>
        <w:rPr>
          <w:rFonts w:ascii="Arial" w:eastAsia="Times New Roman" w:hAnsi="Arial" w:cs="Arial"/>
          <w:color w:val="3B3838"/>
          <w:sz w:val="24"/>
          <w:szCs w:val="24"/>
          <w:lang w:eastAsia="en-GB"/>
        </w:rPr>
        <w:t xml:space="preserve"> </w:t>
      </w:r>
      <w:r w:rsidRPr="00184EEB">
        <w:rPr>
          <w:rFonts w:ascii="Arial" w:eastAsia="Times New Roman" w:hAnsi="Arial" w:cs="Arial"/>
          <w:color w:val="3B3838"/>
          <w:sz w:val="24"/>
          <w:szCs w:val="24"/>
          <w:lang w:eastAsia="en-GB"/>
        </w:rPr>
        <w:t>TM</w:t>
      </w:r>
      <w:r w:rsidR="004C53B5">
        <w:rPr>
          <w:rFonts w:ascii="Arial" w:eastAsia="Times New Roman" w:hAnsi="Arial" w:cs="Arial"/>
          <w:color w:val="3B3838"/>
          <w:sz w:val="24"/>
          <w:szCs w:val="24"/>
          <w:lang w:eastAsia="en-GB"/>
        </w:rPr>
        <w:t>/PM</w:t>
      </w:r>
      <w:r w:rsidRPr="00184EEB">
        <w:rPr>
          <w:rFonts w:ascii="Arial" w:eastAsia="Times New Roman" w:hAnsi="Arial" w:cs="Arial"/>
          <w:color w:val="3B3838"/>
          <w:sz w:val="24"/>
          <w:szCs w:val="24"/>
          <w:lang w:eastAsia="en-GB"/>
        </w:rPr>
        <w:t xml:space="preserve">) handing over the </w:t>
      </w:r>
      <w:r w:rsidRPr="00AB23EB">
        <w:rPr>
          <w:rFonts w:ascii="Arial" w:eastAsia="Times New Roman" w:hAnsi="Arial" w:cs="Arial"/>
          <w:sz w:val="24"/>
          <w:szCs w:val="24"/>
          <w:lang w:eastAsia="en-GB"/>
        </w:rPr>
        <w:t>case;</w:t>
      </w:r>
    </w:p>
    <w:p w:rsidR="00FF5DA9" w:rsidRPr="00184EEB" w:rsidRDefault="00FF5DA9" w:rsidP="00FF5DA9">
      <w:pPr>
        <w:numPr>
          <w:ilvl w:val="0"/>
          <w:numId w:val="11"/>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The ICS Case Transfer Summary must be completed by summarising the department’s involvement with the family and services provided/ actions being taken by the worker/ team;</w:t>
      </w:r>
    </w:p>
    <w:p w:rsidR="00FF5DA9" w:rsidRPr="00184EEB" w:rsidRDefault="00FF5DA9" w:rsidP="00FF5DA9">
      <w:pPr>
        <w:numPr>
          <w:ilvl w:val="0"/>
          <w:numId w:val="11"/>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lastRenderedPageBreak/>
        <w:t>The ICS Case Transfer Summary must be authorised by the TM for the team transferring the case;</w:t>
      </w:r>
    </w:p>
    <w:p w:rsidR="00FF5DA9" w:rsidRPr="00184EEB" w:rsidRDefault="00FF5DA9" w:rsidP="00FF5DA9">
      <w:pPr>
        <w:numPr>
          <w:ilvl w:val="0"/>
          <w:numId w:val="11"/>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A chronology must be completed to reflect the type of case being transferred;</w:t>
      </w:r>
    </w:p>
    <w:p w:rsidR="00FF5DA9" w:rsidRPr="00184EEB" w:rsidRDefault="00FF5DA9" w:rsidP="00FF5DA9">
      <w:pPr>
        <w:numPr>
          <w:ilvl w:val="0"/>
          <w:numId w:val="11"/>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The parent / carer and birth family, together with any other key agency is informed of the transfer of the case in writing and given the new contact numbers;</w:t>
      </w:r>
    </w:p>
    <w:p w:rsidR="00FF5DA9" w:rsidRPr="00184EEB" w:rsidRDefault="00FF5DA9" w:rsidP="00FF5DA9">
      <w:pPr>
        <w:numPr>
          <w:ilvl w:val="0"/>
          <w:numId w:val="11"/>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All case notes must be up to date</w:t>
      </w:r>
    </w:p>
    <w:p w:rsidR="00FF5DA9" w:rsidRPr="00184EEB" w:rsidRDefault="00FF5DA9" w:rsidP="00FF5DA9">
      <w:pPr>
        <w:shd w:val="clear" w:color="auto" w:fill="FFFFFF"/>
        <w:spacing w:before="100" w:beforeAutospacing="1" w:after="100" w:afterAutospacing="1" w:line="252" w:lineRule="atLeast"/>
        <w:outlineLvl w:val="2"/>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For Looked After Children</w:t>
      </w:r>
    </w:p>
    <w:p w:rsidR="00FF5DA9" w:rsidRPr="00184EEB" w:rsidRDefault="00FF5DA9" w:rsidP="00FF5DA9">
      <w:pPr>
        <w:numPr>
          <w:ilvl w:val="0"/>
          <w:numId w:val="12"/>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All the relevant LAC forms must have been fully completed, and in cases where the child has been in care for 3 months +</w:t>
      </w:r>
    </w:p>
    <w:p w:rsidR="00FF5DA9" w:rsidRPr="00AB23EB" w:rsidRDefault="00AB23EB" w:rsidP="00FF5DA9">
      <w:pPr>
        <w:numPr>
          <w:ilvl w:val="0"/>
          <w:numId w:val="12"/>
        </w:numPr>
        <w:shd w:val="clear" w:color="auto" w:fill="FFFFFF"/>
        <w:spacing w:before="192" w:after="192" w:line="252" w:lineRule="atLeast"/>
        <w:rPr>
          <w:rFonts w:ascii="Arial" w:eastAsia="Times New Roman" w:hAnsi="Arial" w:cs="Arial"/>
          <w:strike/>
          <w:sz w:val="24"/>
          <w:szCs w:val="24"/>
          <w:lang w:eastAsia="en-GB"/>
        </w:rPr>
      </w:pPr>
      <w:r w:rsidRPr="00AB23EB">
        <w:rPr>
          <w:rFonts w:ascii="Arial" w:eastAsia="Times New Roman" w:hAnsi="Arial" w:cs="Arial"/>
          <w:sz w:val="24"/>
          <w:szCs w:val="24"/>
          <w:lang w:eastAsia="en-GB"/>
        </w:rPr>
        <w:t>A</w:t>
      </w:r>
      <w:r w:rsidR="00B25556" w:rsidRPr="00AB23EB">
        <w:rPr>
          <w:rFonts w:ascii="Arial" w:eastAsia="Times New Roman" w:hAnsi="Arial" w:cs="Arial"/>
          <w:sz w:val="24"/>
          <w:szCs w:val="24"/>
          <w:lang w:eastAsia="en-GB"/>
        </w:rPr>
        <w:t xml:space="preserve">ll cases </w:t>
      </w:r>
      <w:r w:rsidRPr="00AB23EB">
        <w:rPr>
          <w:rFonts w:ascii="Arial" w:eastAsia="Times New Roman" w:hAnsi="Arial" w:cs="Arial"/>
          <w:sz w:val="24"/>
          <w:szCs w:val="24"/>
          <w:lang w:eastAsia="en-GB"/>
        </w:rPr>
        <w:t>transferring</w:t>
      </w:r>
      <w:r w:rsidR="00B25556" w:rsidRPr="00AB23EB">
        <w:rPr>
          <w:rFonts w:ascii="Arial" w:eastAsia="Times New Roman" w:hAnsi="Arial" w:cs="Arial"/>
          <w:sz w:val="24"/>
          <w:szCs w:val="24"/>
          <w:lang w:eastAsia="en-GB"/>
        </w:rPr>
        <w:t xml:space="preserve"> to another team must have an up-to-date assessment (completed within the last 12 months)</w:t>
      </w:r>
    </w:p>
    <w:p w:rsidR="00FF5DA9" w:rsidRPr="00AB23EB" w:rsidRDefault="00FF5DA9" w:rsidP="00FF5DA9">
      <w:pPr>
        <w:numPr>
          <w:ilvl w:val="0"/>
          <w:numId w:val="12"/>
        </w:numPr>
        <w:shd w:val="clear" w:color="auto" w:fill="FFFFFF"/>
        <w:spacing w:before="192" w:after="192" w:line="252" w:lineRule="atLeast"/>
        <w:rPr>
          <w:rFonts w:ascii="Arial" w:eastAsia="Times New Roman" w:hAnsi="Arial" w:cs="Arial"/>
          <w:sz w:val="24"/>
          <w:szCs w:val="24"/>
          <w:lang w:eastAsia="en-GB"/>
        </w:rPr>
      </w:pPr>
      <w:r w:rsidRPr="00AB23EB">
        <w:rPr>
          <w:rFonts w:ascii="Arial" w:eastAsia="Times New Roman" w:hAnsi="Arial" w:cs="Arial"/>
          <w:sz w:val="24"/>
          <w:szCs w:val="24"/>
          <w:lang w:eastAsia="en-GB"/>
        </w:rPr>
        <w:t xml:space="preserve">Life Story work must have been </w:t>
      </w:r>
      <w:r w:rsidR="00B25556" w:rsidRPr="00AB23EB">
        <w:rPr>
          <w:rFonts w:ascii="Arial" w:eastAsia="Times New Roman" w:hAnsi="Arial" w:cs="Arial"/>
          <w:sz w:val="24"/>
          <w:szCs w:val="24"/>
          <w:lang w:eastAsia="en-GB"/>
        </w:rPr>
        <w:t xml:space="preserve">completed at the point of the final hearing </w:t>
      </w:r>
      <w:r w:rsidRPr="00AB23EB">
        <w:rPr>
          <w:rFonts w:ascii="Arial" w:eastAsia="Times New Roman" w:hAnsi="Arial" w:cs="Arial"/>
          <w:sz w:val="24"/>
          <w:szCs w:val="24"/>
          <w:lang w:eastAsia="en-GB"/>
        </w:rPr>
        <w:t xml:space="preserve">with </w:t>
      </w:r>
      <w:r w:rsidR="00B25556" w:rsidRPr="00AB23EB">
        <w:rPr>
          <w:rFonts w:ascii="Arial" w:eastAsia="Times New Roman" w:hAnsi="Arial" w:cs="Arial"/>
          <w:sz w:val="24"/>
          <w:szCs w:val="24"/>
          <w:lang w:eastAsia="en-GB"/>
        </w:rPr>
        <w:t>CLA</w:t>
      </w:r>
      <w:r w:rsidR="00AB23EB">
        <w:rPr>
          <w:rFonts w:ascii="Arial" w:eastAsia="Times New Roman" w:hAnsi="Arial" w:cs="Arial"/>
          <w:sz w:val="24"/>
          <w:szCs w:val="24"/>
          <w:lang w:eastAsia="en-GB"/>
        </w:rPr>
        <w:t>/</w:t>
      </w:r>
      <w:r w:rsidRPr="00AB23EB">
        <w:rPr>
          <w:rFonts w:ascii="Arial" w:eastAsia="Times New Roman" w:hAnsi="Arial" w:cs="Arial"/>
          <w:sz w:val="24"/>
          <w:szCs w:val="24"/>
          <w:lang w:eastAsia="en-GB"/>
        </w:rPr>
        <w:t>YP/Child.</w:t>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4. </w:t>
      </w:r>
      <w:bookmarkStart w:id="4" w:name="trans_time"/>
      <w:bookmarkEnd w:id="4"/>
      <w:r w:rsidRPr="00184EEB">
        <w:rPr>
          <w:rFonts w:ascii="Arial" w:eastAsia="Times New Roman" w:hAnsi="Arial" w:cs="Arial"/>
          <w:b/>
          <w:bCs/>
          <w:color w:val="3B3838"/>
          <w:sz w:val="24"/>
          <w:szCs w:val="24"/>
          <w:lang w:eastAsia="en-GB"/>
        </w:rPr>
        <w:t>Transfer Timescale</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Transfer of case responsibility between teams should be completed on the given day if this is not possible communication from the TMS with an agreed date.</w:t>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5. </w:t>
      </w:r>
      <w:bookmarkStart w:id="5" w:name="re_ref"/>
      <w:bookmarkEnd w:id="5"/>
      <w:r w:rsidRPr="00184EEB">
        <w:rPr>
          <w:rFonts w:ascii="Arial" w:eastAsia="Times New Roman" w:hAnsi="Arial" w:cs="Arial"/>
          <w:b/>
          <w:bCs/>
          <w:color w:val="3B3838"/>
          <w:sz w:val="24"/>
          <w:szCs w:val="24"/>
          <w:lang w:eastAsia="en-GB"/>
        </w:rPr>
        <w:t>Re-Referrals</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Where a case has been closed by any team and is re-referred within three months, the case will be reallocated directly to the team that closed it rather than being referred to the Assessment &amp; Safeguarding Team.</w:t>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6. </w:t>
      </w:r>
      <w:bookmarkStart w:id="6" w:name="dispute"/>
      <w:bookmarkEnd w:id="6"/>
      <w:r w:rsidRPr="00184EEB">
        <w:rPr>
          <w:rFonts w:ascii="Arial" w:eastAsia="Times New Roman" w:hAnsi="Arial" w:cs="Arial"/>
          <w:b/>
          <w:bCs/>
          <w:color w:val="3B3838"/>
          <w:sz w:val="24"/>
          <w:szCs w:val="24"/>
          <w:lang w:eastAsia="en-GB"/>
        </w:rPr>
        <w:t>Dispute Resolution</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Where a child’s circumstances dictate that their assessed needs meet the criteria for more than one service, it is expected that Team Managers in the respective services will resolve any dispute over case allocation between them in the best interests of the child.</w:t>
      </w:r>
    </w:p>
    <w:p w:rsidR="00FF5DA9" w:rsidRPr="00184EEB" w:rsidRDefault="00FF5DA9" w:rsidP="00FF5DA9">
      <w:pPr>
        <w:shd w:val="clear" w:color="auto" w:fill="FFFFFF"/>
        <w:spacing w:before="100" w:beforeAutospacing="1" w:after="100" w:afterAutospacing="1"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lastRenderedPageBreak/>
        <w:t xml:space="preserve">In exceptional circumstances where clarification is required or an agreement cannot be recorded, Team Managers will escalate the dispute to their respective </w:t>
      </w:r>
      <w:r w:rsidR="00B25556" w:rsidRPr="00AB23EB">
        <w:rPr>
          <w:rFonts w:ascii="Arial" w:eastAsia="Times New Roman" w:hAnsi="Arial" w:cs="Arial"/>
          <w:sz w:val="24"/>
          <w:szCs w:val="24"/>
          <w:lang w:eastAsia="en-GB"/>
        </w:rPr>
        <w:t xml:space="preserve">Senior </w:t>
      </w:r>
      <w:r w:rsidRPr="00184EEB">
        <w:rPr>
          <w:rFonts w:ascii="Arial" w:eastAsia="Times New Roman" w:hAnsi="Arial" w:cs="Arial"/>
          <w:color w:val="3B3838"/>
          <w:sz w:val="24"/>
          <w:szCs w:val="24"/>
          <w:lang w:eastAsia="en-GB"/>
        </w:rPr>
        <w:t>Managers to reach a resolution.</w:t>
      </w:r>
    </w:p>
    <w:p w:rsidR="00FF5DA9" w:rsidRPr="00184EEB" w:rsidRDefault="00FF5DA9" w:rsidP="00FF5DA9">
      <w:pPr>
        <w:pBdr>
          <w:bottom w:val="single" w:sz="6" w:space="0" w:color="5F7BA4"/>
        </w:pBdr>
        <w:shd w:val="clear" w:color="auto" w:fill="FFFFFF"/>
        <w:spacing w:before="100" w:beforeAutospacing="1" w:after="100" w:afterAutospacing="1" w:line="252" w:lineRule="atLeast"/>
        <w:outlineLvl w:val="1"/>
        <w:rPr>
          <w:rFonts w:ascii="Arial" w:eastAsia="Times New Roman" w:hAnsi="Arial" w:cs="Arial"/>
          <w:b/>
          <w:bCs/>
          <w:color w:val="3B3838"/>
          <w:sz w:val="24"/>
          <w:szCs w:val="24"/>
          <w:lang w:eastAsia="en-GB"/>
        </w:rPr>
      </w:pPr>
      <w:r w:rsidRPr="00184EEB">
        <w:rPr>
          <w:rFonts w:ascii="Arial" w:eastAsia="Times New Roman" w:hAnsi="Arial" w:cs="Arial"/>
          <w:b/>
          <w:bCs/>
          <w:color w:val="3B3838"/>
          <w:sz w:val="24"/>
          <w:szCs w:val="24"/>
          <w:lang w:eastAsia="en-GB"/>
        </w:rPr>
        <w:t>7.</w:t>
      </w:r>
      <w:bookmarkStart w:id="7" w:name="expect"/>
      <w:bookmarkEnd w:id="7"/>
      <w:r w:rsidRPr="00184EEB">
        <w:rPr>
          <w:rFonts w:ascii="Arial" w:eastAsia="Times New Roman" w:hAnsi="Arial" w:cs="Arial"/>
          <w:b/>
          <w:bCs/>
          <w:color w:val="3B3838"/>
          <w:sz w:val="24"/>
          <w:szCs w:val="24"/>
          <w:lang w:eastAsia="en-GB"/>
        </w:rPr>
        <w:t> Expectations of Team Managers</w:t>
      </w:r>
    </w:p>
    <w:p w:rsidR="00FF5DA9" w:rsidRPr="00184EEB" w:rsidRDefault="00FF5DA9" w:rsidP="00FF5DA9">
      <w:pPr>
        <w:numPr>
          <w:ilvl w:val="0"/>
          <w:numId w:val="13"/>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Ensure work is allocated, when appropriate to their team, in a timely manner;</w:t>
      </w:r>
    </w:p>
    <w:p w:rsidR="00FF5DA9" w:rsidRPr="00184EEB" w:rsidRDefault="00FF5DA9" w:rsidP="00FF5DA9">
      <w:pPr>
        <w:numPr>
          <w:ilvl w:val="0"/>
          <w:numId w:val="13"/>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Ensure that all case files are up to date prior to transfer;</w:t>
      </w:r>
    </w:p>
    <w:p w:rsidR="00FF5DA9" w:rsidRPr="00184EEB" w:rsidRDefault="00FF5DA9" w:rsidP="00FF5DA9">
      <w:pPr>
        <w:numPr>
          <w:ilvl w:val="0"/>
          <w:numId w:val="13"/>
        </w:numPr>
        <w:shd w:val="clear" w:color="auto" w:fill="FFFFFF"/>
        <w:spacing w:before="192" w:after="192" w:line="252" w:lineRule="atLeast"/>
        <w:rPr>
          <w:rFonts w:ascii="Arial" w:eastAsia="Times New Roman" w:hAnsi="Arial" w:cs="Arial"/>
          <w:color w:val="3B3838"/>
          <w:sz w:val="24"/>
          <w:szCs w:val="24"/>
          <w:lang w:eastAsia="en-GB"/>
        </w:rPr>
      </w:pPr>
      <w:r w:rsidRPr="00184EEB">
        <w:rPr>
          <w:rFonts w:ascii="Arial" w:eastAsia="Times New Roman" w:hAnsi="Arial" w:cs="Arial"/>
          <w:color w:val="3B3838"/>
          <w:sz w:val="24"/>
          <w:szCs w:val="24"/>
          <w:lang w:eastAsia="en-GB"/>
        </w:rPr>
        <w:t>They will allocate cases to an appropriate worker in line with their caseloads and experience.</w:t>
      </w:r>
    </w:p>
    <w:p w:rsidR="00FF5DA9" w:rsidRPr="001419FA" w:rsidRDefault="00FF5DA9" w:rsidP="00FF5DA9">
      <w:pPr>
        <w:shd w:val="clear" w:color="auto" w:fill="FFFFFF"/>
        <w:spacing w:before="100" w:beforeAutospacing="1" w:after="100" w:afterAutospacing="1" w:line="252" w:lineRule="atLeast"/>
        <w:jc w:val="center"/>
        <w:rPr>
          <w:rFonts w:ascii="Arial" w:eastAsia="Times New Roman" w:hAnsi="Arial" w:cs="Arial"/>
          <w:b/>
          <w:bCs/>
          <w:color w:val="50575B"/>
          <w:sz w:val="18"/>
          <w:szCs w:val="18"/>
          <w:lang w:eastAsia="en-GB"/>
        </w:rPr>
      </w:pPr>
      <w:r w:rsidRPr="001419FA">
        <w:rPr>
          <w:rFonts w:ascii="Arial" w:eastAsia="Times New Roman" w:hAnsi="Arial" w:cs="Arial"/>
          <w:b/>
          <w:bCs/>
          <w:color w:val="50575B"/>
          <w:sz w:val="18"/>
          <w:szCs w:val="18"/>
          <w:lang w:eastAsia="en-GB"/>
        </w:rPr>
        <w:t>End</w:t>
      </w:r>
    </w:p>
    <w:p w:rsidR="00FF5DA9" w:rsidRDefault="00FF5DA9" w:rsidP="00FF5DA9"/>
    <w:p w:rsidR="005769C3" w:rsidRDefault="005769C3" w:rsidP="005769C3">
      <w:pPr>
        <w:spacing w:after="0" w:line="240" w:lineRule="auto"/>
        <w:jc w:val="both"/>
        <w:rPr>
          <w:rFonts w:ascii="Arial" w:hAnsi="Arial" w:cs="Arial"/>
        </w:rPr>
      </w:pPr>
    </w:p>
    <w:p w:rsidR="00FF5DA9" w:rsidRDefault="00FF5DA9" w:rsidP="005769C3">
      <w:pPr>
        <w:spacing w:after="0" w:line="240" w:lineRule="auto"/>
        <w:jc w:val="both"/>
        <w:rPr>
          <w:rFonts w:ascii="Arial" w:hAnsi="Arial" w:cs="Arial"/>
        </w:rPr>
      </w:pPr>
    </w:p>
    <w:p w:rsidR="00FF5DA9" w:rsidRPr="00DA7DAA" w:rsidRDefault="00FF5DA9" w:rsidP="005769C3">
      <w:pPr>
        <w:spacing w:after="0" w:line="240" w:lineRule="auto"/>
        <w:jc w:val="both"/>
        <w:rPr>
          <w:rFonts w:ascii="Arial" w:hAnsi="Arial" w:cs="Arial"/>
        </w:rPr>
      </w:pPr>
    </w:p>
    <w:p w:rsidR="00130D12" w:rsidRPr="00130D12" w:rsidRDefault="00130D12" w:rsidP="00130D12">
      <w:pPr>
        <w:pStyle w:val="ListParagraph"/>
        <w:rPr>
          <w:rFonts w:ascii="Arial" w:hAnsi="Arial" w:cs="Arial"/>
        </w:rPr>
      </w:pPr>
    </w:p>
    <w:p w:rsidR="00130D12" w:rsidRDefault="00130D12" w:rsidP="00130D12">
      <w:pPr>
        <w:spacing w:after="0" w:line="240" w:lineRule="auto"/>
        <w:jc w:val="both"/>
        <w:rPr>
          <w:rFonts w:ascii="Arial" w:hAnsi="Arial" w:cs="Arial"/>
        </w:rPr>
      </w:pPr>
    </w:p>
    <w:p w:rsidR="004F227A" w:rsidRPr="00631648" w:rsidRDefault="004F227A" w:rsidP="004F227A">
      <w:pPr>
        <w:spacing w:after="0" w:line="240" w:lineRule="auto"/>
        <w:jc w:val="both"/>
        <w:rPr>
          <w:rFonts w:ascii="Arial" w:hAnsi="Arial" w:cs="Arial"/>
          <w:b/>
        </w:rPr>
      </w:pPr>
    </w:p>
    <w:p w:rsidR="004F227A" w:rsidRDefault="004F227A" w:rsidP="00E036E5">
      <w:pPr>
        <w:rPr>
          <w:rFonts w:ascii="Arial" w:hAnsi="Arial" w:cs="Arial"/>
          <w:b/>
        </w:rPr>
      </w:pPr>
    </w:p>
    <w:p w:rsidR="004F227A" w:rsidRDefault="004F227A" w:rsidP="004F227A">
      <w:pPr>
        <w:spacing w:after="0" w:line="240" w:lineRule="auto"/>
        <w:rPr>
          <w:rFonts w:ascii="Arial" w:hAnsi="Arial" w:cs="Arial"/>
        </w:rPr>
      </w:pPr>
    </w:p>
    <w:p w:rsidR="004F227A" w:rsidRDefault="004F227A" w:rsidP="00E036E5">
      <w:pPr>
        <w:rPr>
          <w:rFonts w:ascii="Arial" w:hAnsi="Arial" w:cs="Arial"/>
          <w:b/>
        </w:rPr>
      </w:pPr>
    </w:p>
    <w:p w:rsidR="004F227A" w:rsidRDefault="004F227A" w:rsidP="00E036E5">
      <w:pPr>
        <w:rPr>
          <w:rFonts w:ascii="Arial" w:hAnsi="Arial" w:cs="Arial"/>
          <w:b/>
        </w:rPr>
      </w:pPr>
    </w:p>
    <w:p w:rsidR="004F227A" w:rsidRDefault="004F227A" w:rsidP="00E036E5">
      <w:pPr>
        <w:rPr>
          <w:rFonts w:ascii="Arial" w:hAnsi="Arial" w:cs="Arial"/>
          <w:b/>
        </w:rPr>
      </w:pPr>
    </w:p>
    <w:p w:rsidR="0084405A" w:rsidRPr="00C53826" w:rsidRDefault="0084405A" w:rsidP="009F5DD2">
      <w:pPr>
        <w:spacing w:after="0" w:line="240" w:lineRule="auto"/>
        <w:rPr>
          <w:rFonts w:ascii="Arial" w:hAnsi="Arial" w:cs="Arial"/>
        </w:rPr>
      </w:pPr>
    </w:p>
    <w:sectPr w:rsidR="0084405A" w:rsidRPr="00C53826" w:rsidSect="00EE619D">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EC9" w:rsidRDefault="00092EC9" w:rsidP="00C604B5">
      <w:pPr>
        <w:spacing w:after="0" w:line="240" w:lineRule="auto"/>
      </w:pPr>
      <w:r>
        <w:separator/>
      </w:r>
    </w:p>
  </w:endnote>
  <w:endnote w:type="continuationSeparator" w:id="0">
    <w:p w:rsidR="00092EC9" w:rsidRDefault="00092EC9" w:rsidP="00C6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391382"/>
      <w:docPartObj>
        <w:docPartGallery w:val="Page Numbers (Bottom of Page)"/>
        <w:docPartUnique/>
      </w:docPartObj>
    </w:sdtPr>
    <w:sdtEndPr>
      <w:rPr>
        <w:noProof/>
      </w:rPr>
    </w:sdtEndPr>
    <w:sdtContent>
      <w:p w:rsidR="004F227A" w:rsidRDefault="004F227A">
        <w:pPr>
          <w:pStyle w:val="Footer"/>
          <w:jc w:val="center"/>
        </w:pPr>
        <w:r>
          <w:fldChar w:fldCharType="begin"/>
        </w:r>
        <w:r>
          <w:instrText xml:space="preserve"> PAGE   \* MERGEFORMAT </w:instrText>
        </w:r>
        <w:r>
          <w:fldChar w:fldCharType="separate"/>
        </w:r>
        <w:r w:rsidR="00E03D16">
          <w:rPr>
            <w:noProof/>
          </w:rPr>
          <w:t>4</w:t>
        </w:r>
        <w:r>
          <w:rPr>
            <w:noProof/>
          </w:rPr>
          <w:fldChar w:fldCharType="end"/>
        </w:r>
      </w:p>
    </w:sdtContent>
  </w:sdt>
  <w:p w:rsidR="004F227A" w:rsidRDefault="00EE619D" w:rsidP="00EE619D">
    <w:pPr>
      <w:pStyle w:val="Footer"/>
      <w:tabs>
        <w:tab w:val="clear" w:pos="4513"/>
        <w:tab w:val="clear" w:pos="9026"/>
        <w:tab w:val="left" w:pos="2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EC9" w:rsidRDefault="00092EC9" w:rsidP="00C604B5">
      <w:pPr>
        <w:spacing w:after="0" w:line="240" w:lineRule="auto"/>
      </w:pPr>
      <w:r>
        <w:separator/>
      </w:r>
    </w:p>
  </w:footnote>
  <w:footnote w:type="continuationSeparator" w:id="0">
    <w:p w:rsidR="00092EC9" w:rsidRDefault="00092EC9" w:rsidP="00C60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9D" w:rsidRDefault="00EE619D">
    <w:pPr>
      <w:pStyle w:val="Header"/>
    </w:pPr>
    <w:r>
      <w:rPr>
        <w:noProof/>
        <w:lang w:eastAsia="en-GB"/>
      </w:rPr>
      <w:drawing>
        <wp:anchor distT="0" distB="0" distL="114300" distR="114300" simplePos="0" relativeHeight="251659264" behindDoc="1" locked="0" layoutInCell="1" allowOverlap="1" wp14:anchorId="159E00A5" wp14:editId="698B6D58">
          <wp:simplePos x="0" y="0"/>
          <wp:positionH relativeFrom="page">
            <wp:align>right</wp:align>
          </wp:positionH>
          <wp:positionV relativeFrom="paragraph">
            <wp:posOffset>-471871</wp:posOffset>
          </wp:positionV>
          <wp:extent cx="7568565" cy="107048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3AB2"/>
    <w:multiLevelType w:val="hybridMultilevel"/>
    <w:tmpl w:val="140A1FE6"/>
    <w:lvl w:ilvl="0" w:tplc="8D50ADA6">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B1717"/>
    <w:multiLevelType w:val="multilevel"/>
    <w:tmpl w:val="0D9A1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01504C"/>
    <w:multiLevelType w:val="hybridMultilevel"/>
    <w:tmpl w:val="9352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F44C8"/>
    <w:multiLevelType w:val="hybridMultilevel"/>
    <w:tmpl w:val="EB748796"/>
    <w:lvl w:ilvl="0" w:tplc="8D50ADA6">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6704D"/>
    <w:multiLevelType w:val="multilevel"/>
    <w:tmpl w:val="0A9E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C3F0E"/>
    <w:multiLevelType w:val="multilevel"/>
    <w:tmpl w:val="91AE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504845"/>
    <w:multiLevelType w:val="multilevel"/>
    <w:tmpl w:val="01C2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65EF7"/>
    <w:multiLevelType w:val="hybridMultilevel"/>
    <w:tmpl w:val="FD428258"/>
    <w:lvl w:ilvl="0" w:tplc="8D50ADA6">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27996"/>
    <w:multiLevelType w:val="multilevel"/>
    <w:tmpl w:val="62CC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D6D24"/>
    <w:multiLevelType w:val="hybridMultilevel"/>
    <w:tmpl w:val="8B62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01755"/>
    <w:multiLevelType w:val="multilevel"/>
    <w:tmpl w:val="7716F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21CF0"/>
    <w:multiLevelType w:val="multilevel"/>
    <w:tmpl w:val="D67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0A64BF"/>
    <w:multiLevelType w:val="multilevel"/>
    <w:tmpl w:val="59E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7"/>
  </w:num>
  <w:num w:numId="5">
    <w:abstractNumId w:val="2"/>
  </w:num>
  <w:num w:numId="6">
    <w:abstractNumId w:val="6"/>
  </w:num>
  <w:num w:numId="7">
    <w:abstractNumId w:val="8"/>
  </w:num>
  <w:num w:numId="8">
    <w:abstractNumId w:val="5"/>
  </w:num>
  <w:num w:numId="9">
    <w:abstractNumId w:val="11"/>
  </w:num>
  <w:num w:numId="10">
    <w:abstractNumId w:val="12"/>
  </w:num>
  <w:num w:numId="11">
    <w:abstractNumId w:val="10"/>
  </w:num>
  <w:num w:numId="12">
    <w:abstractNumId w:val="1"/>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DD"/>
    <w:rsid w:val="00013C7A"/>
    <w:rsid w:val="0002045E"/>
    <w:rsid w:val="000925CC"/>
    <w:rsid w:val="00092EC9"/>
    <w:rsid w:val="000D0389"/>
    <w:rsid w:val="000D335B"/>
    <w:rsid w:val="000F22A3"/>
    <w:rsid w:val="00104B60"/>
    <w:rsid w:val="00114D68"/>
    <w:rsid w:val="0011639F"/>
    <w:rsid w:val="00130D12"/>
    <w:rsid w:val="001447D7"/>
    <w:rsid w:val="00185282"/>
    <w:rsid w:val="001D25F4"/>
    <w:rsid w:val="00241045"/>
    <w:rsid w:val="002636E1"/>
    <w:rsid w:val="00292A0D"/>
    <w:rsid w:val="00293CC4"/>
    <w:rsid w:val="002A6949"/>
    <w:rsid w:val="003227D8"/>
    <w:rsid w:val="00351860"/>
    <w:rsid w:val="00374951"/>
    <w:rsid w:val="00393A44"/>
    <w:rsid w:val="003A1E21"/>
    <w:rsid w:val="003C185F"/>
    <w:rsid w:val="003D49F5"/>
    <w:rsid w:val="004451DA"/>
    <w:rsid w:val="004C53B5"/>
    <w:rsid w:val="004E63D8"/>
    <w:rsid w:val="004F227A"/>
    <w:rsid w:val="004F2AD1"/>
    <w:rsid w:val="005539E8"/>
    <w:rsid w:val="00565279"/>
    <w:rsid w:val="005769C3"/>
    <w:rsid w:val="005A325F"/>
    <w:rsid w:val="005B6644"/>
    <w:rsid w:val="005D005A"/>
    <w:rsid w:val="00631648"/>
    <w:rsid w:val="00690C6B"/>
    <w:rsid w:val="006D17DB"/>
    <w:rsid w:val="006D32F9"/>
    <w:rsid w:val="00734F22"/>
    <w:rsid w:val="00736B0D"/>
    <w:rsid w:val="00751531"/>
    <w:rsid w:val="007D3108"/>
    <w:rsid w:val="007D4E77"/>
    <w:rsid w:val="007E0176"/>
    <w:rsid w:val="007F1EF5"/>
    <w:rsid w:val="008251ED"/>
    <w:rsid w:val="0084405A"/>
    <w:rsid w:val="008639AC"/>
    <w:rsid w:val="00877F1C"/>
    <w:rsid w:val="00881FEB"/>
    <w:rsid w:val="00892DEB"/>
    <w:rsid w:val="0089382B"/>
    <w:rsid w:val="008A1CDD"/>
    <w:rsid w:val="009E29D1"/>
    <w:rsid w:val="009F5DD2"/>
    <w:rsid w:val="00A26B1B"/>
    <w:rsid w:val="00A42251"/>
    <w:rsid w:val="00A658FA"/>
    <w:rsid w:val="00AB23EB"/>
    <w:rsid w:val="00AC4AB6"/>
    <w:rsid w:val="00AD7D6A"/>
    <w:rsid w:val="00AE198A"/>
    <w:rsid w:val="00AE4546"/>
    <w:rsid w:val="00AE4837"/>
    <w:rsid w:val="00B21DBE"/>
    <w:rsid w:val="00B24FEE"/>
    <w:rsid w:val="00B25556"/>
    <w:rsid w:val="00B316BA"/>
    <w:rsid w:val="00B4640B"/>
    <w:rsid w:val="00B61589"/>
    <w:rsid w:val="00B756D2"/>
    <w:rsid w:val="00B90A05"/>
    <w:rsid w:val="00C20520"/>
    <w:rsid w:val="00C470C4"/>
    <w:rsid w:val="00C53826"/>
    <w:rsid w:val="00C604B5"/>
    <w:rsid w:val="00C64315"/>
    <w:rsid w:val="00C64682"/>
    <w:rsid w:val="00C720C3"/>
    <w:rsid w:val="00C95FDA"/>
    <w:rsid w:val="00D01BF0"/>
    <w:rsid w:val="00D71E4A"/>
    <w:rsid w:val="00D83A81"/>
    <w:rsid w:val="00DA10D9"/>
    <w:rsid w:val="00DA13D9"/>
    <w:rsid w:val="00DA2A69"/>
    <w:rsid w:val="00DA7DAA"/>
    <w:rsid w:val="00DD5C9F"/>
    <w:rsid w:val="00DF15F6"/>
    <w:rsid w:val="00E036E5"/>
    <w:rsid w:val="00E03D16"/>
    <w:rsid w:val="00E12327"/>
    <w:rsid w:val="00E127BE"/>
    <w:rsid w:val="00E469D7"/>
    <w:rsid w:val="00E52591"/>
    <w:rsid w:val="00E77E58"/>
    <w:rsid w:val="00ED2D00"/>
    <w:rsid w:val="00EE619D"/>
    <w:rsid w:val="00F17281"/>
    <w:rsid w:val="00F2527B"/>
    <w:rsid w:val="00F52730"/>
    <w:rsid w:val="00F764EF"/>
    <w:rsid w:val="00F870E1"/>
    <w:rsid w:val="00FA34E8"/>
    <w:rsid w:val="00FD15E5"/>
    <w:rsid w:val="00FF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C3B3F4-AF0B-402A-8E65-D8906CB9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A34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D68"/>
    <w:pPr>
      <w:ind w:left="720"/>
      <w:contextualSpacing/>
    </w:pPr>
  </w:style>
  <w:style w:type="character" w:customStyle="1" w:styleId="Heading3Char">
    <w:name w:val="Heading 3 Char"/>
    <w:basedOn w:val="DefaultParagraphFont"/>
    <w:link w:val="Heading3"/>
    <w:uiPriority w:val="9"/>
    <w:rsid w:val="00FA34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A34E8"/>
    <w:rPr>
      <w:rFonts w:ascii="Arial" w:hAnsi="Arial" w:cs="Arial" w:hint="default"/>
      <w:b/>
      <w:bCs/>
      <w:i w:val="0"/>
      <w:iCs w:val="0"/>
      <w:strike w:val="0"/>
      <w:dstrike w:val="0"/>
      <w:color w:val="017BBA"/>
      <w:u w:val="none"/>
      <w:effect w:val="none"/>
    </w:rPr>
  </w:style>
  <w:style w:type="paragraph" w:styleId="NoSpacing">
    <w:name w:val="No Spacing"/>
    <w:uiPriority w:val="1"/>
    <w:qFormat/>
    <w:rsid w:val="00FA34E8"/>
    <w:pPr>
      <w:spacing w:after="0" w:line="240" w:lineRule="auto"/>
    </w:pPr>
    <w:rPr>
      <w:rFonts w:ascii="Calibri" w:hAnsi="Calibri" w:cs="Times New Roman"/>
    </w:rPr>
  </w:style>
  <w:style w:type="paragraph" w:styleId="Header">
    <w:name w:val="header"/>
    <w:basedOn w:val="Normal"/>
    <w:link w:val="HeaderChar"/>
    <w:uiPriority w:val="99"/>
    <w:unhideWhenUsed/>
    <w:rsid w:val="00C60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B5"/>
  </w:style>
  <w:style w:type="paragraph" w:styleId="Footer">
    <w:name w:val="footer"/>
    <w:basedOn w:val="Normal"/>
    <w:link w:val="FooterChar"/>
    <w:uiPriority w:val="99"/>
    <w:unhideWhenUsed/>
    <w:rsid w:val="00C60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B5"/>
  </w:style>
  <w:style w:type="character" w:styleId="CommentReference">
    <w:name w:val="annotation reference"/>
    <w:basedOn w:val="DefaultParagraphFont"/>
    <w:uiPriority w:val="99"/>
    <w:semiHidden/>
    <w:unhideWhenUsed/>
    <w:rsid w:val="003A1E21"/>
    <w:rPr>
      <w:sz w:val="16"/>
      <w:szCs w:val="16"/>
    </w:rPr>
  </w:style>
  <w:style w:type="paragraph" w:styleId="CommentText">
    <w:name w:val="annotation text"/>
    <w:basedOn w:val="Normal"/>
    <w:link w:val="CommentTextChar"/>
    <w:uiPriority w:val="99"/>
    <w:semiHidden/>
    <w:unhideWhenUsed/>
    <w:rsid w:val="003A1E21"/>
    <w:pPr>
      <w:spacing w:line="240" w:lineRule="auto"/>
    </w:pPr>
    <w:rPr>
      <w:sz w:val="20"/>
      <w:szCs w:val="20"/>
    </w:rPr>
  </w:style>
  <w:style w:type="character" w:customStyle="1" w:styleId="CommentTextChar">
    <w:name w:val="Comment Text Char"/>
    <w:basedOn w:val="DefaultParagraphFont"/>
    <w:link w:val="CommentText"/>
    <w:uiPriority w:val="99"/>
    <w:semiHidden/>
    <w:rsid w:val="003A1E21"/>
    <w:rPr>
      <w:sz w:val="20"/>
      <w:szCs w:val="20"/>
    </w:rPr>
  </w:style>
  <w:style w:type="paragraph" w:styleId="CommentSubject">
    <w:name w:val="annotation subject"/>
    <w:basedOn w:val="CommentText"/>
    <w:next w:val="CommentText"/>
    <w:link w:val="CommentSubjectChar"/>
    <w:uiPriority w:val="99"/>
    <w:semiHidden/>
    <w:unhideWhenUsed/>
    <w:rsid w:val="003A1E21"/>
    <w:rPr>
      <w:b/>
      <w:bCs/>
    </w:rPr>
  </w:style>
  <w:style w:type="character" w:customStyle="1" w:styleId="CommentSubjectChar">
    <w:name w:val="Comment Subject Char"/>
    <w:basedOn w:val="CommentTextChar"/>
    <w:link w:val="CommentSubject"/>
    <w:uiPriority w:val="99"/>
    <w:semiHidden/>
    <w:rsid w:val="003A1E21"/>
    <w:rPr>
      <w:b/>
      <w:bCs/>
      <w:sz w:val="20"/>
      <w:szCs w:val="20"/>
    </w:rPr>
  </w:style>
  <w:style w:type="paragraph" w:styleId="BalloonText">
    <w:name w:val="Balloon Text"/>
    <w:basedOn w:val="Normal"/>
    <w:link w:val="BalloonTextChar"/>
    <w:uiPriority w:val="99"/>
    <w:semiHidden/>
    <w:unhideWhenUsed/>
    <w:rsid w:val="003A1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21"/>
    <w:rPr>
      <w:rFonts w:ascii="Segoe UI" w:hAnsi="Segoe UI" w:cs="Segoe UI"/>
      <w:sz w:val="18"/>
      <w:szCs w:val="18"/>
    </w:rPr>
  </w:style>
  <w:style w:type="paragraph" w:styleId="Revision">
    <w:name w:val="Revision"/>
    <w:hidden/>
    <w:uiPriority w:val="99"/>
    <w:semiHidden/>
    <w:rsid w:val="00B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8F983B-18DA-4D83-BCBA-0A8675ACE7B9}"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178803A7-A97C-4D26-8610-BE06EB854224}">
      <dgm:prSet phldrT="[Text]" custT="1"/>
      <dgm:spPr/>
      <dgm:t>
        <a:bodyPr/>
        <a:lstStyle/>
        <a:p>
          <a:r>
            <a:rPr lang="en-GB" sz="1200" b="1"/>
            <a:t>Social workers to ensure</a:t>
          </a:r>
        </a:p>
      </dgm:t>
    </dgm:pt>
    <dgm:pt modelId="{C10D94C3-E21F-44A8-BD9A-E751EE5E83A0}" type="parTrans" cxnId="{D40A1601-860E-494F-B1CF-6EF9BB0030ED}">
      <dgm:prSet/>
      <dgm:spPr/>
      <dgm:t>
        <a:bodyPr/>
        <a:lstStyle/>
        <a:p>
          <a:endParaRPr lang="en-GB"/>
        </a:p>
      </dgm:t>
    </dgm:pt>
    <dgm:pt modelId="{BCFD20F0-6EEE-4B47-ABC1-68204F1C9C89}" type="sibTrans" cxnId="{D40A1601-860E-494F-B1CF-6EF9BB0030ED}">
      <dgm:prSet/>
      <dgm:spPr/>
      <dgm:t>
        <a:bodyPr/>
        <a:lstStyle/>
        <a:p>
          <a:endParaRPr lang="en-GB"/>
        </a:p>
      </dgm:t>
    </dgm:pt>
    <dgm:pt modelId="{02B0284C-3BF0-4658-88C8-3FEBD294798C}">
      <dgm:prSet phldrT="[Text]" custT="1"/>
      <dgm:spPr/>
      <dgm:t>
        <a:bodyPr/>
        <a:lstStyle/>
        <a:p>
          <a:r>
            <a:rPr lang="en-GB" sz="1100"/>
            <a:t>All meetings to be recorded</a:t>
          </a:r>
          <a:r>
            <a:rPr lang="en-US" sz="1100"/>
            <a:t>and on LCS</a:t>
          </a:r>
          <a:endParaRPr lang="en-GB" sz="1100"/>
        </a:p>
      </dgm:t>
    </dgm:pt>
    <dgm:pt modelId="{F20A8C89-E8ED-4325-B435-C29EAA852AC4}" type="parTrans" cxnId="{4565BAD5-087F-4353-A3E4-A12A71A9F092}">
      <dgm:prSet/>
      <dgm:spPr/>
      <dgm:t>
        <a:bodyPr/>
        <a:lstStyle/>
        <a:p>
          <a:endParaRPr lang="en-GB"/>
        </a:p>
      </dgm:t>
    </dgm:pt>
    <dgm:pt modelId="{BF3B1AAD-2BAA-42CC-A1FB-098417489FAB}" type="sibTrans" cxnId="{4565BAD5-087F-4353-A3E4-A12A71A9F092}">
      <dgm:prSet/>
      <dgm:spPr/>
      <dgm:t>
        <a:bodyPr/>
        <a:lstStyle/>
        <a:p>
          <a:endParaRPr lang="en-GB"/>
        </a:p>
      </dgm:t>
    </dgm:pt>
    <dgm:pt modelId="{C401BBF7-8B28-4E77-B957-8CA788898ECE}">
      <dgm:prSet phldrT="[Text]" custT="1"/>
      <dgm:spPr/>
      <dgm:t>
        <a:bodyPr/>
        <a:lstStyle/>
        <a:p>
          <a:r>
            <a:rPr lang="en-GB" sz="1100"/>
            <a:t>Transfer summary </a:t>
          </a:r>
          <a:r>
            <a:rPr lang="en-US" sz="1100"/>
            <a:t>and on LCS</a:t>
          </a:r>
          <a:endParaRPr lang="en-GB" sz="1100"/>
        </a:p>
      </dgm:t>
    </dgm:pt>
    <dgm:pt modelId="{0B66A889-2CE4-4EC2-AD82-7E6D63E6CFDD}" type="parTrans" cxnId="{3D287157-5925-42C7-8B14-A861ED61902B}">
      <dgm:prSet/>
      <dgm:spPr/>
      <dgm:t>
        <a:bodyPr/>
        <a:lstStyle/>
        <a:p>
          <a:endParaRPr lang="en-GB"/>
        </a:p>
      </dgm:t>
    </dgm:pt>
    <dgm:pt modelId="{9C0ACEB5-80BB-428A-A233-F89883709B73}" type="sibTrans" cxnId="{3D287157-5925-42C7-8B14-A861ED61902B}">
      <dgm:prSet/>
      <dgm:spPr/>
      <dgm:t>
        <a:bodyPr/>
        <a:lstStyle/>
        <a:p>
          <a:endParaRPr lang="en-GB"/>
        </a:p>
      </dgm:t>
    </dgm:pt>
    <dgm:pt modelId="{E62F6EE0-47CC-4571-9DBC-9A6ED383979C}">
      <dgm:prSet phldrT="[Text]" custT="1"/>
      <dgm:spPr/>
      <dgm:t>
        <a:bodyPr/>
        <a:lstStyle/>
        <a:p>
          <a:r>
            <a:rPr lang="en-US" sz="1100" strike="noStrike">
              <a:solidFill>
                <a:sysClr val="windowText" lastClr="000000"/>
              </a:solidFill>
            </a:rPr>
            <a:t>LCS pathway and demoraphics up-to-date</a:t>
          </a:r>
          <a:endParaRPr lang="en-GB" sz="1100" strike="sngStrike">
            <a:solidFill>
              <a:sysClr val="windowText" lastClr="000000"/>
            </a:solidFill>
          </a:endParaRPr>
        </a:p>
      </dgm:t>
    </dgm:pt>
    <dgm:pt modelId="{8068E567-F541-4DD6-A743-92ED7C6B9FE8}" type="parTrans" cxnId="{16147E0D-52D4-4748-BF2C-84B5A4FA71D0}">
      <dgm:prSet/>
      <dgm:spPr/>
      <dgm:t>
        <a:bodyPr/>
        <a:lstStyle/>
        <a:p>
          <a:endParaRPr lang="en-GB"/>
        </a:p>
      </dgm:t>
    </dgm:pt>
    <dgm:pt modelId="{ED9C159C-F20A-468A-8BC4-AA502540CC0A}" type="sibTrans" cxnId="{16147E0D-52D4-4748-BF2C-84B5A4FA71D0}">
      <dgm:prSet/>
      <dgm:spPr/>
      <dgm:t>
        <a:bodyPr/>
        <a:lstStyle/>
        <a:p>
          <a:endParaRPr lang="en-GB"/>
        </a:p>
      </dgm:t>
    </dgm:pt>
    <dgm:pt modelId="{48AD3BDC-14F1-4E73-8335-C2EE961FB714}">
      <dgm:prSet phldrT="[Text]" custT="1"/>
      <dgm:spPr/>
      <dgm:t>
        <a:bodyPr/>
        <a:lstStyle/>
        <a:p>
          <a:r>
            <a:rPr lang="en-GB" sz="1100"/>
            <a:t>Visits to be completed</a:t>
          </a:r>
          <a:r>
            <a:rPr lang="en-US" sz="1100"/>
            <a:t>and on LCS </a:t>
          </a:r>
          <a:endParaRPr lang="en-GB" sz="1100"/>
        </a:p>
      </dgm:t>
    </dgm:pt>
    <dgm:pt modelId="{6C9A56DA-834F-479A-9980-B771831AC376}" type="parTrans" cxnId="{3EB4B5E7-5271-4DCA-B36F-7DACAC183717}">
      <dgm:prSet/>
      <dgm:spPr/>
      <dgm:t>
        <a:bodyPr/>
        <a:lstStyle/>
        <a:p>
          <a:endParaRPr lang="en-GB"/>
        </a:p>
      </dgm:t>
    </dgm:pt>
    <dgm:pt modelId="{A527BBEE-9286-4C98-8232-680ECE00BAE9}" type="sibTrans" cxnId="{3EB4B5E7-5271-4DCA-B36F-7DACAC183717}">
      <dgm:prSet/>
      <dgm:spPr/>
      <dgm:t>
        <a:bodyPr/>
        <a:lstStyle/>
        <a:p>
          <a:endParaRPr lang="en-GB"/>
        </a:p>
      </dgm:t>
    </dgm:pt>
    <dgm:pt modelId="{D87E2A50-8D24-45E9-8DEE-E1CC5EA99411}">
      <dgm:prSet phldrT="[Text]" phldr="1"/>
      <dgm:spPr/>
      <dgm:t>
        <a:bodyPr/>
        <a:lstStyle/>
        <a:p>
          <a:endParaRPr lang="en-GB"/>
        </a:p>
      </dgm:t>
    </dgm:pt>
    <dgm:pt modelId="{034FEC82-39C1-49DB-B5CE-BF6DEB665425}" type="parTrans" cxnId="{D11439F3-B1D2-45DC-9213-50CECDE06279}">
      <dgm:prSet/>
      <dgm:spPr/>
      <dgm:t>
        <a:bodyPr/>
        <a:lstStyle/>
        <a:p>
          <a:endParaRPr lang="en-GB"/>
        </a:p>
      </dgm:t>
    </dgm:pt>
    <dgm:pt modelId="{4A3CE9A2-FF80-4869-A985-2AF3F8E0F380}" type="sibTrans" cxnId="{D11439F3-B1D2-45DC-9213-50CECDE06279}">
      <dgm:prSet/>
      <dgm:spPr/>
      <dgm:t>
        <a:bodyPr/>
        <a:lstStyle/>
        <a:p>
          <a:endParaRPr lang="en-GB"/>
        </a:p>
      </dgm:t>
    </dgm:pt>
    <dgm:pt modelId="{059DC68C-279A-42BA-8CA4-E675D14A6971}">
      <dgm:prSet custT="1"/>
      <dgm:spPr/>
      <dgm:t>
        <a:bodyPr/>
        <a:lstStyle/>
        <a:p>
          <a:r>
            <a:rPr lang="en-GB" sz="1100"/>
            <a:t>Genogram </a:t>
          </a:r>
          <a:r>
            <a:rPr lang="en-US" sz="1100"/>
            <a:t>and on LCS</a:t>
          </a:r>
          <a:endParaRPr lang="en-GB" sz="1100"/>
        </a:p>
      </dgm:t>
    </dgm:pt>
    <dgm:pt modelId="{1D8163B7-902A-40AB-9D88-BFA29E92860F}" type="parTrans" cxnId="{7B20A2BB-6112-4171-8BDA-170DE4B61060}">
      <dgm:prSet/>
      <dgm:spPr/>
      <dgm:t>
        <a:bodyPr/>
        <a:lstStyle/>
        <a:p>
          <a:endParaRPr lang="en-GB"/>
        </a:p>
      </dgm:t>
    </dgm:pt>
    <dgm:pt modelId="{17949E52-B372-46C8-903C-EDDAFDBF0F74}" type="sibTrans" cxnId="{7B20A2BB-6112-4171-8BDA-170DE4B61060}">
      <dgm:prSet/>
      <dgm:spPr/>
      <dgm:t>
        <a:bodyPr/>
        <a:lstStyle/>
        <a:p>
          <a:endParaRPr lang="en-GB"/>
        </a:p>
      </dgm:t>
    </dgm:pt>
    <dgm:pt modelId="{807EFC14-73F8-4EC9-B575-714E656BA1EE}">
      <dgm:prSet custT="1"/>
      <dgm:spPr/>
      <dgm:t>
        <a:bodyPr/>
        <a:lstStyle/>
        <a:p>
          <a:r>
            <a:rPr lang="en-GB" sz="1100"/>
            <a:t>Chronology, Case Summaries, supervsvions up to date </a:t>
          </a:r>
          <a:r>
            <a:rPr lang="en-US" sz="1100"/>
            <a:t>on LCS</a:t>
          </a:r>
          <a:endParaRPr lang="en-GB" sz="1100"/>
        </a:p>
      </dgm:t>
    </dgm:pt>
    <dgm:pt modelId="{7DB132F6-8E71-4AEF-9A50-993D6BA7A328}" type="parTrans" cxnId="{7A5AB14B-63EA-4F5A-8A05-2CE6324F77B5}">
      <dgm:prSet/>
      <dgm:spPr/>
      <dgm:t>
        <a:bodyPr/>
        <a:lstStyle/>
        <a:p>
          <a:endParaRPr lang="en-GB"/>
        </a:p>
      </dgm:t>
    </dgm:pt>
    <dgm:pt modelId="{9DBA2AA5-181A-4B3E-A0DF-32D8E9D622F0}" type="sibTrans" cxnId="{7A5AB14B-63EA-4F5A-8A05-2CE6324F77B5}">
      <dgm:prSet/>
      <dgm:spPr/>
      <dgm:t>
        <a:bodyPr/>
        <a:lstStyle/>
        <a:p>
          <a:endParaRPr lang="en-GB"/>
        </a:p>
      </dgm:t>
    </dgm:pt>
    <dgm:pt modelId="{249DA232-4E87-4682-BF03-5E5E1F8E2A18}">
      <dgm:prSet custT="1"/>
      <dgm:spPr/>
      <dgm:t>
        <a:bodyPr/>
        <a:lstStyle/>
        <a:p>
          <a:r>
            <a:rPr lang="en-US" sz="1100"/>
            <a:t>PEP up to date and on LCS</a:t>
          </a:r>
        </a:p>
      </dgm:t>
    </dgm:pt>
    <dgm:pt modelId="{B6682581-127C-489F-903B-0B51EE585B52}" type="parTrans" cxnId="{EA1CE57B-7EDC-476B-BAB2-B931AD92BAA6}">
      <dgm:prSet/>
      <dgm:spPr/>
      <dgm:t>
        <a:bodyPr/>
        <a:lstStyle/>
        <a:p>
          <a:endParaRPr lang="en-US"/>
        </a:p>
      </dgm:t>
    </dgm:pt>
    <dgm:pt modelId="{6587654C-1675-44BD-BFF3-ED029111695A}" type="sibTrans" cxnId="{EA1CE57B-7EDC-476B-BAB2-B931AD92BAA6}">
      <dgm:prSet/>
      <dgm:spPr/>
      <dgm:t>
        <a:bodyPr/>
        <a:lstStyle/>
        <a:p>
          <a:endParaRPr lang="en-US"/>
        </a:p>
      </dgm:t>
    </dgm:pt>
    <dgm:pt modelId="{390B5CA5-4DC9-4BCB-BC55-AED099B944A4}">
      <dgm:prSet custT="1"/>
      <dgm:spPr/>
      <dgm:t>
        <a:bodyPr/>
        <a:lstStyle/>
        <a:p>
          <a:r>
            <a:rPr lang="en-US" sz="1100"/>
            <a:t>Health Assessment Completed and on LCS</a:t>
          </a:r>
        </a:p>
      </dgm:t>
    </dgm:pt>
    <dgm:pt modelId="{2B31B3A0-3EA3-4CC7-94B5-6BA70C2472CF}" type="parTrans" cxnId="{16839623-318A-491C-ACC8-EB29D7ECFEFA}">
      <dgm:prSet/>
      <dgm:spPr/>
      <dgm:t>
        <a:bodyPr/>
        <a:lstStyle/>
        <a:p>
          <a:endParaRPr lang="en-US"/>
        </a:p>
      </dgm:t>
    </dgm:pt>
    <dgm:pt modelId="{D31875FE-37DC-4657-A0A0-F6B8A512C8FE}" type="sibTrans" cxnId="{16839623-318A-491C-ACC8-EB29D7ECFEFA}">
      <dgm:prSet/>
      <dgm:spPr/>
      <dgm:t>
        <a:bodyPr/>
        <a:lstStyle/>
        <a:p>
          <a:endParaRPr lang="en-US"/>
        </a:p>
      </dgm:t>
    </dgm:pt>
    <dgm:pt modelId="{9790080C-9F11-4EE1-957B-B41E37087046}" type="pres">
      <dgm:prSet presAssocID="{088F983B-18DA-4D83-BCBA-0A8675ACE7B9}" presName="composite" presStyleCnt="0">
        <dgm:presLayoutVars>
          <dgm:chMax val="1"/>
          <dgm:dir/>
          <dgm:resizeHandles val="exact"/>
        </dgm:presLayoutVars>
      </dgm:prSet>
      <dgm:spPr/>
      <dgm:t>
        <a:bodyPr/>
        <a:lstStyle/>
        <a:p>
          <a:endParaRPr lang="en-GB"/>
        </a:p>
      </dgm:t>
    </dgm:pt>
    <dgm:pt modelId="{505ABA0C-3D22-41DE-8FCA-04EEDE30D208}" type="pres">
      <dgm:prSet presAssocID="{088F983B-18DA-4D83-BCBA-0A8675ACE7B9}" presName="radial" presStyleCnt="0">
        <dgm:presLayoutVars>
          <dgm:animLvl val="ctr"/>
        </dgm:presLayoutVars>
      </dgm:prSet>
      <dgm:spPr/>
    </dgm:pt>
    <dgm:pt modelId="{C9B65807-021A-4569-A619-93BB8761C69D}" type="pres">
      <dgm:prSet presAssocID="{178803A7-A97C-4D26-8610-BE06EB854224}" presName="centerShape" presStyleLbl="vennNode1" presStyleIdx="0" presStyleCnt="9" custScaleX="119709" custScaleY="110223" custLinFactNeighborX="374" custLinFactNeighborY="2989"/>
      <dgm:spPr/>
      <dgm:t>
        <a:bodyPr/>
        <a:lstStyle/>
        <a:p>
          <a:endParaRPr lang="en-GB"/>
        </a:p>
      </dgm:t>
    </dgm:pt>
    <dgm:pt modelId="{D2A37870-19AB-4368-BC95-7CC725000080}" type="pres">
      <dgm:prSet presAssocID="{02B0284C-3BF0-4658-88C8-3FEBD294798C}" presName="node" presStyleLbl="vennNode1" presStyleIdx="1" presStyleCnt="9" custScaleX="149274" custScaleY="118820">
        <dgm:presLayoutVars>
          <dgm:bulletEnabled val="1"/>
        </dgm:presLayoutVars>
      </dgm:prSet>
      <dgm:spPr/>
      <dgm:t>
        <a:bodyPr/>
        <a:lstStyle/>
        <a:p>
          <a:endParaRPr lang="en-GB"/>
        </a:p>
      </dgm:t>
    </dgm:pt>
    <dgm:pt modelId="{9FF03D54-9A3D-45D0-934F-088FC2967EF1}" type="pres">
      <dgm:prSet presAssocID="{249DA232-4E87-4682-BF03-5E5E1F8E2A18}" presName="node" presStyleLbl="vennNode1" presStyleIdx="2" presStyleCnt="9" custScaleX="137946">
        <dgm:presLayoutVars>
          <dgm:bulletEnabled val="1"/>
        </dgm:presLayoutVars>
      </dgm:prSet>
      <dgm:spPr/>
      <dgm:t>
        <a:bodyPr/>
        <a:lstStyle/>
        <a:p>
          <a:endParaRPr lang="en-US"/>
        </a:p>
      </dgm:t>
    </dgm:pt>
    <dgm:pt modelId="{06B7E8BC-A056-431D-849A-1E3794FA909B}" type="pres">
      <dgm:prSet presAssocID="{390B5CA5-4DC9-4BCB-BC55-AED099B944A4}" presName="node" presStyleLbl="vennNode1" presStyleIdx="3" presStyleCnt="9" custScaleX="136746">
        <dgm:presLayoutVars>
          <dgm:bulletEnabled val="1"/>
        </dgm:presLayoutVars>
      </dgm:prSet>
      <dgm:spPr/>
      <dgm:t>
        <a:bodyPr/>
        <a:lstStyle/>
        <a:p>
          <a:endParaRPr lang="en-US"/>
        </a:p>
      </dgm:t>
    </dgm:pt>
    <dgm:pt modelId="{9B955908-37D0-4AED-9D8E-BC4A4C8259D7}" type="pres">
      <dgm:prSet presAssocID="{C401BBF7-8B28-4E77-B957-8CA788898ECE}" presName="node" presStyleLbl="vennNode1" presStyleIdx="4" presStyleCnt="9" custScaleX="147232" custScaleY="115692" custRadScaleRad="115475" custRadScaleInc="-5345">
        <dgm:presLayoutVars>
          <dgm:bulletEnabled val="1"/>
        </dgm:presLayoutVars>
      </dgm:prSet>
      <dgm:spPr/>
      <dgm:t>
        <a:bodyPr/>
        <a:lstStyle/>
        <a:p>
          <a:endParaRPr lang="en-GB"/>
        </a:p>
      </dgm:t>
    </dgm:pt>
    <dgm:pt modelId="{68FC661E-7A06-4EC0-8460-34ADD4BCBE88}" type="pres">
      <dgm:prSet presAssocID="{807EFC14-73F8-4EC9-B575-714E656BA1EE}" presName="node" presStyleLbl="vennNode1" presStyleIdx="5" presStyleCnt="9" custScaleX="154650" custScaleY="109857">
        <dgm:presLayoutVars>
          <dgm:bulletEnabled val="1"/>
        </dgm:presLayoutVars>
      </dgm:prSet>
      <dgm:spPr/>
      <dgm:t>
        <a:bodyPr/>
        <a:lstStyle/>
        <a:p>
          <a:endParaRPr lang="en-GB"/>
        </a:p>
      </dgm:t>
    </dgm:pt>
    <dgm:pt modelId="{E2C159DF-CA74-45B6-864E-20748539992F}" type="pres">
      <dgm:prSet presAssocID="{059DC68C-279A-42BA-8CA4-E675D14A6971}" presName="node" presStyleLbl="vennNode1" presStyleIdx="6" presStyleCnt="9" custScaleX="156053" custScaleY="103800" custRadScaleRad="112773" custRadScaleInc="3441">
        <dgm:presLayoutVars>
          <dgm:bulletEnabled val="1"/>
        </dgm:presLayoutVars>
      </dgm:prSet>
      <dgm:spPr/>
      <dgm:t>
        <a:bodyPr/>
        <a:lstStyle/>
        <a:p>
          <a:endParaRPr lang="en-GB"/>
        </a:p>
      </dgm:t>
    </dgm:pt>
    <dgm:pt modelId="{4D507F26-7C58-4E8C-83DD-69C25C8325C9}" type="pres">
      <dgm:prSet presAssocID="{E62F6EE0-47CC-4571-9DBC-9A6ED383979C}" presName="node" presStyleLbl="vennNode1" presStyleIdx="7" presStyleCnt="9" custScaleX="161074" custScaleY="121762" custRadScaleRad="96042" custRadScaleInc="9708">
        <dgm:presLayoutVars>
          <dgm:bulletEnabled val="1"/>
        </dgm:presLayoutVars>
      </dgm:prSet>
      <dgm:spPr/>
      <dgm:t>
        <a:bodyPr/>
        <a:lstStyle/>
        <a:p>
          <a:endParaRPr lang="en-GB"/>
        </a:p>
      </dgm:t>
    </dgm:pt>
    <dgm:pt modelId="{8B1EFAAA-B102-4375-A2C2-D15FE9FEB00F}" type="pres">
      <dgm:prSet presAssocID="{48AD3BDC-14F1-4E73-8335-C2EE961FB714}" presName="node" presStyleLbl="vennNode1" presStyleIdx="8" presStyleCnt="9" custScaleX="150125" custScaleY="112696" custRadScaleRad="115953" custRadScaleInc="-5094">
        <dgm:presLayoutVars>
          <dgm:bulletEnabled val="1"/>
        </dgm:presLayoutVars>
      </dgm:prSet>
      <dgm:spPr/>
      <dgm:t>
        <a:bodyPr/>
        <a:lstStyle/>
        <a:p>
          <a:endParaRPr lang="en-GB"/>
        </a:p>
      </dgm:t>
    </dgm:pt>
  </dgm:ptLst>
  <dgm:cxnLst>
    <dgm:cxn modelId="{87F3CA61-677C-43D4-937F-6AC36E56A16D}" type="presOf" srcId="{088F983B-18DA-4D83-BCBA-0A8675ACE7B9}" destId="{9790080C-9F11-4EE1-957B-B41E37087046}" srcOrd="0" destOrd="0" presId="urn:microsoft.com/office/officeart/2005/8/layout/radial3"/>
    <dgm:cxn modelId="{7B20A2BB-6112-4171-8BDA-170DE4B61060}" srcId="{178803A7-A97C-4D26-8610-BE06EB854224}" destId="{059DC68C-279A-42BA-8CA4-E675D14A6971}" srcOrd="5" destOrd="0" parTransId="{1D8163B7-902A-40AB-9D88-BFA29E92860F}" sibTransId="{17949E52-B372-46C8-903C-EDDAFDBF0F74}"/>
    <dgm:cxn modelId="{F037A25A-FBD4-4E49-AA60-FC67F8A90498}" type="presOf" srcId="{059DC68C-279A-42BA-8CA4-E675D14A6971}" destId="{E2C159DF-CA74-45B6-864E-20748539992F}" srcOrd="0" destOrd="0" presId="urn:microsoft.com/office/officeart/2005/8/layout/radial3"/>
    <dgm:cxn modelId="{5C3614B9-D7B4-46AB-B6FC-4FA62EC178FA}" type="presOf" srcId="{48AD3BDC-14F1-4E73-8335-C2EE961FB714}" destId="{8B1EFAAA-B102-4375-A2C2-D15FE9FEB00F}" srcOrd="0" destOrd="0" presId="urn:microsoft.com/office/officeart/2005/8/layout/radial3"/>
    <dgm:cxn modelId="{D49A94D3-196F-42FE-A5F5-71BD2F114D54}" type="presOf" srcId="{249DA232-4E87-4682-BF03-5E5E1F8E2A18}" destId="{9FF03D54-9A3D-45D0-934F-088FC2967EF1}" srcOrd="0" destOrd="0" presId="urn:microsoft.com/office/officeart/2005/8/layout/radial3"/>
    <dgm:cxn modelId="{5E183802-8C2E-4B9E-A538-918A1867D14A}" type="presOf" srcId="{178803A7-A97C-4D26-8610-BE06EB854224}" destId="{C9B65807-021A-4569-A619-93BB8761C69D}" srcOrd="0" destOrd="0" presId="urn:microsoft.com/office/officeart/2005/8/layout/radial3"/>
    <dgm:cxn modelId="{2AE620D0-4AE0-4981-AB57-BA641A1C9CC6}" type="presOf" srcId="{390B5CA5-4DC9-4BCB-BC55-AED099B944A4}" destId="{06B7E8BC-A056-431D-849A-1E3794FA909B}" srcOrd="0" destOrd="0" presId="urn:microsoft.com/office/officeart/2005/8/layout/radial3"/>
    <dgm:cxn modelId="{7937956C-0D1E-4C79-BD96-DE88811261E1}" type="presOf" srcId="{02B0284C-3BF0-4658-88C8-3FEBD294798C}" destId="{D2A37870-19AB-4368-BC95-7CC725000080}" srcOrd="0" destOrd="0" presId="urn:microsoft.com/office/officeart/2005/8/layout/radial3"/>
    <dgm:cxn modelId="{3D287157-5925-42C7-8B14-A861ED61902B}" srcId="{178803A7-A97C-4D26-8610-BE06EB854224}" destId="{C401BBF7-8B28-4E77-B957-8CA788898ECE}" srcOrd="3" destOrd="0" parTransId="{0B66A889-2CE4-4EC2-AD82-7E6D63E6CFDD}" sibTransId="{9C0ACEB5-80BB-428A-A233-F89883709B73}"/>
    <dgm:cxn modelId="{E013E055-F319-499D-AF7C-3843BB2EE89F}" type="presOf" srcId="{807EFC14-73F8-4EC9-B575-714E656BA1EE}" destId="{68FC661E-7A06-4EC0-8460-34ADD4BCBE88}" srcOrd="0" destOrd="0" presId="urn:microsoft.com/office/officeart/2005/8/layout/radial3"/>
    <dgm:cxn modelId="{D40A1601-860E-494F-B1CF-6EF9BB0030ED}" srcId="{088F983B-18DA-4D83-BCBA-0A8675ACE7B9}" destId="{178803A7-A97C-4D26-8610-BE06EB854224}" srcOrd="0" destOrd="0" parTransId="{C10D94C3-E21F-44A8-BD9A-E751EE5E83A0}" sibTransId="{BCFD20F0-6EEE-4B47-ABC1-68204F1C9C89}"/>
    <dgm:cxn modelId="{8CB85F09-1D69-4078-A3B8-01B85B2EAEB8}" type="presOf" srcId="{C401BBF7-8B28-4E77-B957-8CA788898ECE}" destId="{9B955908-37D0-4AED-9D8E-BC4A4C8259D7}" srcOrd="0" destOrd="0" presId="urn:microsoft.com/office/officeart/2005/8/layout/radial3"/>
    <dgm:cxn modelId="{EA1CE57B-7EDC-476B-BAB2-B931AD92BAA6}" srcId="{178803A7-A97C-4D26-8610-BE06EB854224}" destId="{249DA232-4E87-4682-BF03-5E5E1F8E2A18}" srcOrd="1" destOrd="0" parTransId="{B6682581-127C-489F-903B-0B51EE585B52}" sibTransId="{6587654C-1675-44BD-BFF3-ED029111695A}"/>
    <dgm:cxn modelId="{4565BAD5-087F-4353-A3E4-A12A71A9F092}" srcId="{178803A7-A97C-4D26-8610-BE06EB854224}" destId="{02B0284C-3BF0-4658-88C8-3FEBD294798C}" srcOrd="0" destOrd="0" parTransId="{F20A8C89-E8ED-4325-B435-C29EAA852AC4}" sibTransId="{BF3B1AAD-2BAA-42CC-A1FB-098417489FAB}"/>
    <dgm:cxn modelId="{D11439F3-B1D2-45DC-9213-50CECDE06279}" srcId="{088F983B-18DA-4D83-BCBA-0A8675ACE7B9}" destId="{D87E2A50-8D24-45E9-8DEE-E1CC5EA99411}" srcOrd="1" destOrd="0" parTransId="{034FEC82-39C1-49DB-B5CE-BF6DEB665425}" sibTransId="{4A3CE9A2-FF80-4869-A985-2AF3F8E0F380}"/>
    <dgm:cxn modelId="{F92501B0-C6AF-403B-8353-00DCA6D94D59}" type="presOf" srcId="{E62F6EE0-47CC-4571-9DBC-9A6ED383979C}" destId="{4D507F26-7C58-4E8C-83DD-69C25C8325C9}" srcOrd="0" destOrd="0" presId="urn:microsoft.com/office/officeart/2005/8/layout/radial3"/>
    <dgm:cxn modelId="{16839623-318A-491C-ACC8-EB29D7ECFEFA}" srcId="{178803A7-A97C-4D26-8610-BE06EB854224}" destId="{390B5CA5-4DC9-4BCB-BC55-AED099B944A4}" srcOrd="2" destOrd="0" parTransId="{2B31B3A0-3EA3-4CC7-94B5-6BA70C2472CF}" sibTransId="{D31875FE-37DC-4657-A0A0-F6B8A512C8FE}"/>
    <dgm:cxn modelId="{16147E0D-52D4-4748-BF2C-84B5A4FA71D0}" srcId="{178803A7-A97C-4D26-8610-BE06EB854224}" destId="{E62F6EE0-47CC-4571-9DBC-9A6ED383979C}" srcOrd="6" destOrd="0" parTransId="{8068E567-F541-4DD6-A743-92ED7C6B9FE8}" sibTransId="{ED9C159C-F20A-468A-8BC4-AA502540CC0A}"/>
    <dgm:cxn modelId="{7A5AB14B-63EA-4F5A-8A05-2CE6324F77B5}" srcId="{178803A7-A97C-4D26-8610-BE06EB854224}" destId="{807EFC14-73F8-4EC9-B575-714E656BA1EE}" srcOrd="4" destOrd="0" parTransId="{7DB132F6-8E71-4AEF-9A50-993D6BA7A328}" sibTransId="{9DBA2AA5-181A-4B3E-A0DF-32D8E9D622F0}"/>
    <dgm:cxn modelId="{3EB4B5E7-5271-4DCA-B36F-7DACAC183717}" srcId="{178803A7-A97C-4D26-8610-BE06EB854224}" destId="{48AD3BDC-14F1-4E73-8335-C2EE961FB714}" srcOrd="7" destOrd="0" parTransId="{6C9A56DA-834F-479A-9980-B771831AC376}" sibTransId="{A527BBEE-9286-4C98-8232-680ECE00BAE9}"/>
    <dgm:cxn modelId="{32D1FC5F-8598-4ECE-93A7-94C368588F8A}" type="presParOf" srcId="{9790080C-9F11-4EE1-957B-B41E37087046}" destId="{505ABA0C-3D22-41DE-8FCA-04EEDE30D208}" srcOrd="0" destOrd="0" presId="urn:microsoft.com/office/officeart/2005/8/layout/radial3"/>
    <dgm:cxn modelId="{C105ABA7-F067-4F97-831F-4EB26B32C58C}" type="presParOf" srcId="{505ABA0C-3D22-41DE-8FCA-04EEDE30D208}" destId="{C9B65807-021A-4569-A619-93BB8761C69D}" srcOrd="0" destOrd="0" presId="urn:microsoft.com/office/officeart/2005/8/layout/radial3"/>
    <dgm:cxn modelId="{1C2D2607-A824-4F3A-94F2-F92088A02BEF}" type="presParOf" srcId="{505ABA0C-3D22-41DE-8FCA-04EEDE30D208}" destId="{D2A37870-19AB-4368-BC95-7CC725000080}" srcOrd="1" destOrd="0" presId="urn:microsoft.com/office/officeart/2005/8/layout/radial3"/>
    <dgm:cxn modelId="{767A249E-8121-4AEE-9C67-23C9BE382321}" type="presParOf" srcId="{505ABA0C-3D22-41DE-8FCA-04EEDE30D208}" destId="{9FF03D54-9A3D-45D0-934F-088FC2967EF1}" srcOrd="2" destOrd="0" presId="urn:microsoft.com/office/officeart/2005/8/layout/radial3"/>
    <dgm:cxn modelId="{F8AF59D9-644C-4FA9-B8A6-BF7CD3ABF1B3}" type="presParOf" srcId="{505ABA0C-3D22-41DE-8FCA-04EEDE30D208}" destId="{06B7E8BC-A056-431D-849A-1E3794FA909B}" srcOrd="3" destOrd="0" presId="urn:microsoft.com/office/officeart/2005/8/layout/radial3"/>
    <dgm:cxn modelId="{7483E8A9-45C3-4DD7-AD1D-C37E3EE1BD2F}" type="presParOf" srcId="{505ABA0C-3D22-41DE-8FCA-04EEDE30D208}" destId="{9B955908-37D0-4AED-9D8E-BC4A4C8259D7}" srcOrd="4" destOrd="0" presId="urn:microsoft.com/office/officeart/2005/8/layout/radial3"/>
    <dgm:cxn modelId="{6EF1C200-FA4C-4DB1-B089-1BF72060CD7C}" type="presParOf" srcId="{505ABA0C-3D22-41DE-8FCA-04EEDE30D208}" destId="{68FC661E-7A06-4EC0-8460-34ADD4BCBE88}" srcOrd="5" destOrd="0" presId="urn:microsoft.com/office/officeart/2005/8/layout/radial3"/>
    <dgm:cxn modelId="{82C5A9E2-FEC6-4EE5-8502-249C806E6E3B}" type="presParOf" srcId="{505ABA0C-3D22-41DE-8FCA-04EEDE30D208}" destId="{E2C159DF-CA74-45B6-864E-20748539992F}" srcOrd="6" destOrd="0" presId="urn:microsoft.com/office/officeart/2005/8/layout/radial3"/>
    <dgm:cxn modelId="{24280592-3987-4D1B-95F0-34A348E3AD81}" type="presParOf" srcId="{505ABA0C-3D22-41DE-8FCA-04EEDE30D208}" destId="{4D507F26-7C58-4E8C-83DD-69C25C8325C9}" srcOrd="7" destOrd="0" presId="urn:microsoft.com/office/officeart/2005/8/layout/radial3"/>
    <dgm:cxn modelId="{6A2BBD30-DB91-4556-A46A-04A5C46D0F36}" type="presParOf" srcId="{505ABA0C-3D22-41DE-8FCA-04EEDE30D208}" destId="{8B1EFAAA-B102-4375-A2C2-D15FE9FEB00F}" srcOrd="8"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65807-021A-4569-A619-93BB8761C69D}">
      <dsp:nvSpPr>
        <dsp:cNvPr id="0" name=""/>
        <dsp:cNvSpPr/>
      </dsp:nvSpPr>
      <dsp:spPr>
        <a:xfrm>
          <a:off x="1076934" y="1294662"/>
          <a:ext cx="3812531" cy="351041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b="1" kern="1200"/>
            <a:t>Social workers to ensure</a:t>
          </a:r>
        </a:p>
      </dsp:txBody>
      <dsp:txXfrm>
        <a:off x="1635266" y="1808751"/>
        <a:ext cx="2695867" cy="2482240"/>
      </dsp:txXfrm>
    </dsp:sp>
    <dsp:sp modelId="{D2A37870-19AB-4368-BC95-7CC725000080}">
      <dsp:nvSpPr>
        <dsp:cNvPr id="0" name=""/>
        <dsp:cNvSpPr/>
      </dsp:nvSpPr>
      <dsp:spPr>
        <a:xfrm>
          <a:off x="1779154" y="-94228"/>
          <a:ext cx="2377063" cy="189210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All meetings to be recorded</a:t>
          </a:r>
          <a:r>
            <a:rPr lang="en-US" sz="1100" kern="1200"/>
            <a:t>and on LCS</a:t>
          </a:r>
          <a:endParaRPr lang="en-GB" sz="1100" kern="1200"/>
        </a:p>
      </dsp:txBody>
      <dsp:txXfrm>
        <a:off x="2127267" y="182865"/>
        <a:ext cx="1680837" cy="1337923"/>
      </dsp:txXfrm>
    </dsp:sp>
    <dsp:sp modelId="{9FF03D54-9A3D-45D0-934F-088FC2967EF1}">
      <dsp:nvSpPr>
        <dsp:cNvPr id="0" name=""/>
        <dsp:cNvSpPr/>
      </dsp:nvSpPr>
      <dsp:spPr>
        <a:xfrm>
          <a:off x="3335929" y="663095"/>
          <a:ext cx="2196674" cy="159241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PEP up to date and on LCS</a:t>
          </a:r>
        </a:p>
      </dsp:txBody>
      <dsp:txXfrm>
        <a:off x="3657624" y="896299"/>
        <a:ext cx="1553284" cy="1126008"/>
      </dsp:txXfrm>
    </dsp:sp>
    <dsp:sp modelId="{06B7E8BC-A056-431D-849A-1E3794FA909B}">
      <dsp:nvSpPr>
        <dsp:cNvPr id="0" name=""/>
        <dsp:cNvSpPr/>
      </dsp:nvSpPr>
      <dsp:spPr>
        <a:xfrm>
          <a:off x="3952961" y="2129676"/>
          <a:ext cx="2177565" cy="159241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Health Assessment Completed and on LCS</a:t>
          </a:r>
        </a:p>
      </dsp:txBody>
      <dsp:txXfrm>
        <a:off x="4271858" y="2362880"/>
        <a:ext cx="1539771" cy="1126008"/>
      </dsp:txXfrm>
    </dsp:sp>
    <dsp:sp modelId="{9B955908-37D0-4AED-9D8E-BC4A4C8259D7}">
      <dsp:nvSpPr>
        <dsp:cNvPr id="0" name=""/>
        <dsp:cNvSpPr/>
      </dsp:nvSpPr>
      <dsp:spPr>
        <a:xfrm>
          <a:off x="3397123" y="3625704"/>
          <a:ext cx="2344546" cy="184229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Transfer summary </a:t>
          </a:r>
          <a:r>
            <a:rPr lang="en-US" sz="1100" kern="1200"/>
            <a:t>and on LCS</a:t>
          </a:r>
          <a:endParaRPr lang="en-GB" sz="1100" kern="1200"/>
        </a:p>
      </dsp:txBody>
      <dsp:txXfrm>
        <a:off x="3740474" y="3895502"/>
        <a:ext cx="1657844" cy="1302702"/>
      </dsp:txXfrm>
    </dsp:sp>
    <dsp:sp modelId="{68FC661E-7A06-4EC0-8460-34ADD4BCBE88}">
      <dsp:nvSpPr>
        <dsp:cNvPr id="0" name=""/>
        <dsp:cNvSpPr/>
      </dsp:nvSpPr>
      <dsp:spPr>
        <a:xfrm>
          <a:off x="1736349" y="4125252"/>
          <a:ext cx="2462671" cy="174938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Chronology, Case Summaries, supervsvions up to date </a:t>
          </a:r>
          <a:r>
            <a:rPr lang="en-US" sz="1100" kern="1200"/>
            <a:t>on LCS</a:t>
          </a:r>
          <a:endParaRPr lang="en-GB" sz="1100" kern="1200"/>
        </a:p>
      </dsp:txBody>
      <dsp:txXfrm>
        <a:off x="2096999" y="4381443"/>
        <a:ext cx="1741371" cy="1236998"/>
      </dsp:txXfrm>
    </dsp:sp>
    <dsp:sp modelId="{E2C159DF-CA74-45B6-864E-20748539992F}">
      <dsp:nvSpPr>
        <dsp:cNvPr id="0" name=""/>
        <dsp:cNvSpPr/>
      </dsp:nvSpPr>
      <dsp:spPr>
        <a:xfrm>
          <a:off x="27183" y="3708031"/>
          <a:ext cx="2485013" cy="165292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Genogram </a:t>
          </a:r>
          <a:r>
            <a:rPr lang="en-US" sz="1100" kern="1200"/>
            <a:t>and on LCS</a:t>
          </a:r>
          <a:endParaRPr lang="en-GB" sz="1100" kern="1200"/>
        </a:p>
      </dsp:txBody>
      <dsp:txXfrm>
        <a:off x="391105" y="3950097"/>
        <a:ext cx="1757169" cy="1168796"/>
      </dsp:txXfrm>
    </dsp:sp>
    <dsp:sp modelId="{4D507F26-7C58-4E8C-83DD-69C25C8325C9}">
      <dsp:nvSpPr>
        <dsp:cNvPr id="0" name=""/>
        <dsp:cNvSpPr/>
      </dsp:nvSpPr>
      <dsp:spPr>
        <a:xfrm>
          <a:off x="-300978" y="1804672"/>
          <a:ext cx="2564968" cy="193895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strike="noStrike" kern="1200">
              <a:solidFill>
                <a:sysClr val="windowText" lastClr="000000"/>
              </a:solidFill>
            </a:rPr>
            <a:t>LCS pathway and demoraphics up-to-date</a:t>
          </a:r>
          <a:endParaRPr lang="en-GB" sz="1100" strike="sngStrike" kern="1200">
            <a:solidFill>
              <a:sysClr val="windowText" lastClr="000000"/>
            </a:solidFill>
          </a:endParaRPr>
        </a:p>
      </dsp:txBody>
      <dsp:txXfrm>
        <a:off x="74653" y="2088626"/>
        <a:ext cx="1813706" cy="1371049"/>
      </dsp:txXfrm>
    </dsp:sp>
    <dsp:sp modelId="{8B1EFAAA-B102-4375-A2C2-D15FE9FEB00F}">
      <dsp:nvSpPr>
        <dsp:cNvPr id="0" name=""/>
        <dsp:cNvSpPr/>
      </dsp:nvSpPr>
      <dsp:spPr>
        <a:xfrm>
          <a:off x="5177" y="397423"/>
          <a:ext cx="2390614" cy="179458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Visits to be completed</a:t>
          </a:r>
          <a:r>
            <a:rPr lang="en-US" sz="1100" kern="1200"/>
            <a:t>and on LCS </a:t>
          </a:r>
          <a:endParaRPr lang="en-GB" sz="1100" kern="1200"/>
        </a:p>
      </dsp:txBody>
      <dsp:txXfrm>
        <a:off x="355274" y="660234"/>
        <a:ext cx="1690420" cy="12689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F338-8F2E-459B-8994-63135024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Tracey</dc:creator>
  <cp:keywords/>
  <dc:description/>
  <cp:lastModifiedBy>Jones, Sarah</cp:lastModifiedBy>
  <cp:revision>2</cp:revision>
  <dcterms:created xsi:type="dcterms:W3CDTF">2019-08-21T07:34:00Z</dcterms:created>
  <dcterms:modified xsi:type="dcterms:W3CDTF">2019-08-21T07:34:00Z</dcterms:modified>
</cp:coreProperties>
</file>