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58" w:rsidRDefault="00F06758">
      <w:bookmarkStart w:id="0" w:name="_GoBack"/>
      <w:bookmarkEnd w:id="0"/>
    </w:p>
    <w:p w:rsidR="00D34B6B" w:rsidRDefault="00A86FB0">
      <w:r>
        <w:rPr>
          <w:noProof/>
          <w:lang w:eastAsia="en-GB"/>
        </w:rPr>
        <w:drawing>
          <wp:inline distT="0" distB="0" distL="0" distR="0" wp14:anchorId="77A88642" wp14:editId="1733909C">
            <wp:extent cx="1181100" cy="498446"/>
            <wp:effectExtent l="0" t="0" r="0" b="0"/>
            <wp:docPr id="2" name="Picture 2" descr="C:\Users\LouiseGarnettNPS\AppData\Local\Microsoft\Windows\INetCache\Content.Word\MAPPA 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GarnettNPS\AppData\Local\Microsoft\Windows\INetCache\Content.Word\MAPPA Lo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334" cy="504031"/>
                    </a:xfrm>
                    <a:prstGeom prst="rect">
                      <a:avLst/>
                    </a:prstGeom>
                    <a:noFill/>
                    <a:ln>
                      <a:noFill/>
                    </a:ln>
                  </pic:spPr>
                </pic:pic>
              </a:graphicData>
            </a:graphic>
          </wp:inline>
        </w:drawing>
      </w:r>
    </w:p>
    <w:p w:rsidR="00D34B6B" w:rsidRPr="00221BA8" w:rsidRDefault="00221BA8" w:rsidP="00221BA8">
      <w:pPr>
        <w:jc w:val="center"/>
        <w:rPr>
          <w:b/>
        </w:rPr>
      </w:pPr>
      <w:r w:rsidRPr="00221BA8">
        <w:rPr>
          <w:b/>
        </w:rPr>
        <w:t>MAPPA Guidance Updates July 2019 – Summary of changes</w:t>
      </w:r>
    </w:p>
    <w:p w:rsidR="007C2EDD" w:rsidRDefault="007C2EDD"/>
    <w:p w:rsidR="007C2EDD" w:rsidRDefault="007C2EDD">
      <w:r w:rsidRPr="00221BA8">
        <w:rPr>
          <w:u w:val="single"/>
        </w:rPr>
        <w:t>Chapter 7 – Levels of Management</w:t>
      </w:r>
      <w:r w:rsidR="00221BA8">
        <w:t xml:space="preserve"> </w:t>
      </w:r>
    </w:p>
    <w:p w:rsidR="00092742" w:rsidRPr="00092742" w:rsidRDefault="00092742">
      <w:pPr>
        <w:rPr>
          <w:u w:val="single"/>
        </w:rPr>
      </w:pPr>
      <w:r w:rsidRPr="00092742">
        <w:rPr>
          <w:u w:val="single"/>
        </w:rPr>
        <w:t>SMB has a process for ensuring offenders are managed at the right level and for the right length of time</w:t>
      </w:r>
    </w:p>
    <w:p w:rsidR="007C2EDD" w:rsidRDefault="007C2EDD" w:rsidP="007C2EDD">
      <w:pPr>
        <w:pStyle w:val="ListParagraph"/>
        <w:numPr>
          <w:ilvl w:val="0"/>
          <w:numId w:val="1"/>
        </w:numPr>
      </w:pPr>
      <w:r>
        <w:t xml:space="preserve">Removal of the names </w:t>
      </w:r>
      <w:r w:rsidR="001668C3">
        <w:t>for the Levels – i.e.</w:t>
      </w:r>
      <w:r w:rsidR="002E09EA">
        <w:t xml:space="preserve"> Ordinary agency management for Level 1 and active multi-agency management for Level 2 / 3.</w:t>
      </w:r>
    </w:p>
    <w:p w:rsidR="002E09EA" w:rsidRDefault="002E09EA" w:rsidP="007C2EDD">
      <w:pPr>
        <w:pStyle w:val="ListParagraph"/>
        <w:numPr>
          <w:ilvl w:val="0"/>
          <w:numId w:val="1"/>
        </w:numPr>
      </w:pPr>
      <w:r>
        <w:t>Extended detail provided in regard of Level 1 management (no longer any refer</w:t>
      </w:r>
      <w:r w:rsidR="00092742">
        <w:t>e</w:t>
      </w:r>
      <w:r>
        <w:t>nce to the Level 1 Best Practice Guidance from 2011)</w:t>
      </w:r>
      <w:r w:rsidR="00887FE0">
        <w:t>,</w:t>
      </w:r>
      <w:r w:rsidR="001668C3">
        <w:t xml:space="preserve"> Level 1 cases should be reviewed (in line with agency procedures) but also if</w:t>
      </w:r>
      <w:r w:rsidR="00887FE0">
        <w:t xml:space="preserve"> change in circumstances, significant information received from another agency or any escalation in risk.</w:t>
      </w:r>
    </w:p>
    <w:p w:rsidR="00092742" w:rsidRDefault="001668C3" w:rsidP="007C2EDD">
      <w:pPr>
        <w:pStyle w:val="ListParagraph"/>
        <w:numPr>
          <w:ilvl w:val="0"/>
          <w:numId w:val="1"/>
        </w:numPr>
      </w:pPr>
      <w:r>
        <w:t>Level 2, it is noted</w:t>
      </w:r>
      <w:r w:rsidR="002E09EA">
        <w:t xml:space="preserve"> these are cases where formal meetings will </w:t>
      </w:r>
      <w:r w:rsidR="002E09EA" w:rsidRPr="002E09EA">
        <w:rPr>
          <w:i/>
        </w:rPr>
        <w:t>add value</w:t>
      </w:r>
      <w:r w:rsidR="002E09EA">
        <w:rPr>
          <w:i/>
        </w:rPr>
        <w:t xml:space="preserve"> </w:t>
      </w:r>
      <w:r w:rsidR="00092742" w:rsidRPr="00092742">
        <w:t>and that</w:t>
      </w:r>
      <w:r w:rsidR="00092742">
        <w:t xml:space="preserve"> one or more applies –</w:t>
      </w:r>
    </w:p>
    <w:p w:rsidR="00092742" w:rsidRDefault="00092742" w:rsidP="00092742">
      <w:pPr>
        <w:pStyle w:val="ListParagraph"/>
        <w:numPr>
          <w:ilvl w:val="0"/>
          <w:numId w:val="2"/>
        </w:numPr>
      </w:pPr>
      <w:r>
        <w:t>Pose high very high risk of serious harm</w:t>
      </w:r>
    </w:p>
    <w:p w:rsidR="00092742" w:rsidRDefault="00092742" w:rsidP="00092742">
      <w:pPr>
        <w:pStyle w:val="ListParagraph"/>
        <w:numPr>
          <w:ilvl w:val="0"/>
          <w:numId w:val="2"/>
        </w:numPr>
      </w:pPr>
      <w:r>
        <w:t>Lower risk level but active involvement required to co-ordinate interventions / other agencies engagement to manage risks</w:t>
      </w:r>
    </w:p>
    <w:p w:rsidR="00092742" w:rsidRDefault="00092742" w:rsidP="00092742">
      <w:pPr>
        <w:pStyle w:val="ListParagraph"/>
        <w:numPr>
          <w:ilvl w:val="0"/>
          <w:numId w:val="2"/>
        </w:numPr>
      </w:pPr>
      <w:r>
        <w:t>Previously managed at Level 3 and no longer require Level 3 management</w:t>
      </w:r>
    </w:p>
    <w:p w:rsidR="00092742" w:rsidRDefault="00092742" w:rsidP="00092742">
      <w:pPr>
        <w:pStyle w:val="ListParagraph"/>
        <w:numPr>
          <w:ilvl w:val="0"/>
          <w:numId w:val="1"/>
        </w:numPr>
      </w:pPr>
      <w:r>
        <w:t>Level 3 – criteria remains the same</w:t>
      </w:r>
    </w:p>
    <w:p w:rsidR="00092742" w:rsidRDefault="00092742" w:rsidP="00092742">
      <w:pPr>
        <w:pStyle w:val="ListParagraph"/>
        <w:numPr>
          <w:ilvl w:val="0"/>
          <w:numId w:val="1"/>
        </w:numPr>
        <w:rPr>
          <w:u w:val="single"/>
        </w:rPr>
      </w:pPr>
      <w:r w:rsidRPr="00887FE0">
        <w:rPr>
          <w:u w:val="single"/>
        </w:rPr>
        <w:t>Lead agency screening processes are robust, defensible and recorded</w:t>
      </w:r>
      <w:r w:rsidR="00887FE0">
        <w:rPr>
          <w:u w:val="single"/>
        </w:rPr>
        <w:t xml:space="preserve"> – MAPPA Q is noted as best practice</w:t>
      </w:r>
    </w:p>
    <w:p w:rsidR="00887FE0" w:rsidRPr="00887FE0" w:rsidRDefault="00887FE0" w:rsidP="00092742">
      <w:pPr>
        <w:pStyle w:val="ListParagraph"/>
        <w:numPr>
          <w:ilvl w:val="0"/>
          <w:numId w:val="1"/>
        </w:numPr>
        <w:rPr>
          <w:u w:val="single"/>
        </w:rPr>
      </w:pPr>
      <w:r>
        <w:t>MAPPA Level set 6 months prior to release (prison have 14 days to provide any feedback if the</w:t>
      </w:r>
      <w:r w:rsidR="001668C3">
        <w:t>y</w:t>
      </w:r>
      <w:r>
        <w:t xml:space="preserve"> disagree with the level set)</w:t>
      </w:r>
    </w:p>
    <w:p w:rsidR="00887FE0" w:rsidRPr="00887FE0" w:rsidRDefault="00887FE0" w:rsidP="00092742">
      <w:pPr>
        <w:pStyle w:val="ListParagraph"/>
        <w:numPr>
          <w:ilvl w:val="0"/>
          <w:numId w:val="1"/>
        </w:numPr>
        <w:rPr>
          <w:u w:val="single"/>
        </w:rPr>
      </w:pPr>
      <w:r>
        <w:t>Recall –</w:t>
      </w:r>
    </w:p>
    <w:p w:rsidR="00887FE0" w:rsidRPr="00887FE0" w:rsidRDefault="00887FE0" w:rsidP="00887FE0">
      <w:pPr>
        <w:pStyle w:val="ListParagraph"/>
        <w:numPr>
          <w:ilvl w:val="0"/>
          <w:numId w:val="2"/>
        </w:numPr>
        <w:rPr>
          <w:u w:val="single"/>
        </w:rPr>
      </w:pPr>
      <w:r>
        <w:t>Fixed Term, MAPPA level reviewed prior to release</w:t>
      </w:r>
    </w:p>
    <w:p w:rsidR="00887FE0" w:rsidRPr="00887FE0" w:rsidRDefault="00887FE0" w:rsidP="00887FE0">
      <w:pPr>
        <w:pStyle w:val="ListParagraph"/>
        <w:numPr>
          <w:ilvl w:val="0"/>
          <w:numId w:val="2"/>
        </w:numPr>
        <w:rPr>
          <w:u w:val="single"/>
        </w:rPr>
      </w:pPr>
      <w:r>
        <w:t>Standard Recall, review before the 28 day Parole Board review</w:t>
      </w:r>
    </w:p>
    <w:p w:rsidR="00887FE0" w:rsidRPr="00887FE0" w:rsidRDefault="00887FE0" w:rsidP="00887FE0">
      <w:pPr>
        <w:pStyle w:val="ListParagraph"/>
        <w:numPr>
          <w:ilvl w:val="0"/>
          <w:numId w:val="2"/>
        </w:numPr>
        <w:rPr>
          <w:u w:val="single"/>
        </w:rPr>
      </w:pPr>
      <w:r>
        <w:t>6 months before any subsequent Parole Board</w:t>
      </w:r>
      <w:r w:rsidR="001668C3">
        <w:t>s</w:t>
      </w:r>
    </w:p>
    <w:p w:rsidR="00887FE0" w:rsidRPr="00887FE0" w:rsidRDefault="00887FE0" w:rsidP="00887FE0">
      <w:pPr>
        <w:pStyle w:val="ListParagraph"/>
        <w:numPr>
          <w:ilvl w:val="0"/>
          <w:numId w:val="2"/>
        </w:numPr>
        <w:rPr>
          <w:u w:val="single"/>
        </w:rPr>
      </w:pPr>
      <w:r>
        <w:lastRenderedPageBreak/>
        <w:t>Prior to consideration for executive re-release</w:t>
      </w:r>
    </w:p>
    <w:p w:rsidR="00887FE0" w:rsidRPr="00221BA8" w:rsidRDefault="00887FE0" w:rsidP="00887FE0">
      <w:pPr>
        <w:pStyle w:val="ListParagraph"/>
        <w:numPr>
          <w:ilvl w:val="0"/>
          <w:numId w:val="1"/>
        </w:numPr>
        <w:rPr>
          <w:u w:val="single"/>
        </w:rPr>
      </w:pPr>
      <w:r>
        <w:t>MAPPA referral can come from any DTC or RA – but should be in conjunction with Lead Agency, any disagreement to be considered via MAPPA co-ordination unit.</w:t>
      </w:r>
    </w:p>
    <w:p w:rsidR="00221BA8" w:rsidRPr="00221BA8" w:rsidRDefault="00221BA8" w:rsidP="00887FE0">
      <w:pPr>
        <w:pStyle w:val="ListParagraph"/>
        <w:numPr>
          <w:ilvl w:val="0"/>
          <w:numId w:val="1"/>
        </w:numPr>
        <w:rPr>
          <w:u w:val="single"/>
        </w:rPr>
      </w:pPr>
      <w:r>
        <w:t xml:space="preserve">Consideration should be given for management at Level 2 / 3 </w:t>
      </w:r>
    </w:p>
    <w:p w:rsidR="00221BA8" w:rsidRPr="00221BA8" w:rsidRDefault="00221BA8" w:rsidP="00221BA8">
      <w:pPr>
        <w:pStyle w:val="ListParagraph"/>
        <w:numPr>
          <w:ilvl w:val="0"/>
          <w:numId w:val="2"/>
        </w:numPr>
        <w:rPr>
          <w:u w:val="single"/>
        </w:rPr>
      </w:pPr>
      <w:r>
        <w:t>If released significantly over tariff, and when a release not supported</w:t>
      </w:r>
    </w:p>
    <w:p w:rsidR="00221BA8" w:rsidRPr="00221BA8" w:rsidRDefault="00221BA8" w:rsidP="00221BA8">
      <w:pPr>
        <w:pStyle w:val="ListParagraph"/>
        <w:numPr>
          <w:ilvl w:val="0"/>
          <w:numId w:val="2"/>
        </w:numPr>
        <w:rPr>
          <w:u w:val="single"/>
        </w:rPr>
      </w:pPr>
      <w:r>
        <w:t xml:space="preserve">Where there is a history of </w:t>
      </w:r>
      <w:proofErr w:type="spellStart"/>
      <w:r>
        <w:t>non compliance</w:t>
      </w:r>
      <w:proofErr w:type="spellEnd"/>
    </w:p>
    <w:p w:rsidR="00221BA8" w:rsidRPr="00221BA8" w:rsidRDefault="00221BA8" w:rsidP="00221BA8">
      <w:pPr>
        <w:pStyle w:val="ListParagraph"/>
        <w:numPr>
          <w:ilvl w:val="0"/>
          <w:numId w:val="2"/>
        </w:numPr>
        <w:rPr>
          <w:u w:val="single"/>
        </w:rPr>
      </w:pPr>
      <w:r>
        <w:t>High public interest case</w:t>
      </w:r>
    </w:p>
    <w:p w:rsidR="00221BA8" w:rsidRPr="00221BA8" w:rsidRDefault="00221BA8" w:rsidP="00221BA8">
      <w:pPr>
        <w:pStyle w:val="ListParagraph"/>
        <w:numPr>
          <w:ilvl w:val="0"/>
          <w:numId w:val="1"/>
        </w:numPr>
        <w:rPr>
          <w:u w:val="single"/>
        </w:rPr>
      </w:pPr>
      <w:r>
        <w:t>Attention should also be directed at those cases who pose the most significant challenges.</w:t>
      </w:r>
    </w:p>
    <w:p w:rsidR="00221BA8" w:rsidRDefault="00221BA8" w:rsidP="00221BA8">
      <w:pPr>
        <w:rPr>
          <w:u w:val="single"/>
        </w:rPr>
      </w:pPr>
    </w:p>
    <w:p w:rsidR="00221BA8" w:rsidRDefault="00221BA8" w:rsidP="00221BA8">
      <w:pPr>
        <w:rPr>
          <w:u w:val="single"/>
        </w:rPr>
      </w:pPr>
      <w:r>
        <w:rPr>
          <w:u w:val="single"/>
        </w:rPr>
        <w:t xml:space="preserve">Chapter 30 </w:t>
      </w:r>
      <w:r w:rsidR="00A86FB0">
        <w:rPr>
          <w:u w:val="single"/>
        </w:rPr>
        <w:t>– National Governance of MAPPA</w:t>
      </w:r>
    </w:p>
    <w:p w:rsidR="00A86FB0" w:rsidRPr="00A86FB0" w:rsidRDefault="00A86FB0" w:rsidP="00A86FB0">
      <w:pPr>
        <w:pStyle w:val="ListParagraph"/>
        <w:numPr>
          <w:ilvl w:val="0"/>
          <w:numId w:val="1"/>
        </w:numPr>
      </w:pPr>
      <w:r w:rsidRPr="00A86FB0">
        <w:t>Further detail provi</w:t>
      </w:r>
      <w:r w:rsidR="001668C3">
        <w:t>ded regarding the Responsible</w:t>
      </w:r>
      <w:r w:rsidRPr="00A86FB0">
        <w:t xml:space="preserve"> Authority National Steering Group</w:t>
      </w:r>
    </w:p>
    <w:p w:rsidR="00A86FB0" w:rsidRPr="00A86FB0" w:rsidRDefault="00A86FB0" w:rsidP="00A86FB0">
      <w:pPr>
        <w:pStyle w:val="ListParagraph"/>
        <w:numPr>
          <w:ilvl w:val="0"/>
          <w:numId w:val="1"/>
        </w:numPr>
      </w:pPr>
      <w:r w:rsidRPr="00A86FB0">
        <w:t>Further detail added about the functions of the National MAPPA team for example, engagement with HMPPS Sex Offender Team to inform policy and practice. To engage with domestic abuse and PP leads in prisons. Working with NPS IOM (Integrated offender Managem</w:t>
      </w:r>
      <w:r w:rsidR="001668C3">
        <w:t>ent) and Polic</w:t>
      </w:r>
      <w:r w:rsidRPr="00A86FB0">
        <w:t>e National Working Group.</w:t>
      </w:r>
    </w:p>
    <w:p w:rsidR="00A86FB0" w:rsidRPr="00A86FB0" w:rsidRDefault="00A86FB0" w:rsidP="00A86FB0">
      <w:pPr>
        <w:pStyle w:val="ListParagraph"/>
        <w:numPr>
          <w:ilvl w:val="0"/>
          <w:numId w:val="1"/>
        </w:numPr>
      </w:pPr>
      <w:r w:rsidRPr="00A86FB0">
        <w:t xml:space="preserve">Over view of MAPPA Improvement Group provided also the </w:t>
      </w:r>
      <w:proofErr w:type="spellStart"/>
      <w:r w:rsidRPr="00A86FB0">
        <w:t>ViSOR</w:t>
      </w:r>
      <w:proofErr w:type="spellEnd"/>
      <w:r w:rsidRPr="00A86FB0">
        <w:t xml:space="preserve"> groups and the addition of a </w:t>
      </w:r>
      <w:proofErr w:type="spellStart"/>
      <w:r w:rsidRPr="00A86FB0">
        <w:t>ViSOR</w:t>
      </w:r>
      <w:proofErr w:type="spellEnd"/>
      <w:r w:rsidRPr="00A86FB0">
        <w:t xml:space="preserve"> Training Working Group.</w:t>
      </w:r>
    </w:p>
    <w:sectPr w:rsidR="00A86FB0" w:rsidRPr="00A86F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B0" w:rsidRDefault="00A86FB0" w:rsidP="00A86FB0">
      <w:pPr>
        <w:spacing w:after="0" w:line="240" w:lineRule="auto"/>
      </w:pPr>
      <w:r>
        <w:separator/>
      </w:r>
    </w:p>
  </w:endnote>
  <w:endnote w:type="continuationSeparator" w:id="0">
    <w:p w:rsidR="00A86FB0" w:rsidRDefault="00A86FB0" w:rsidP="00A8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B0" w:rsidRDefault="00A86FB0">
    <w:pPr>
      <w:pStyle w:val="Footer"/>
    </w:pPr>
    <w:r>
      <w:t>Page 2</w:t>
    </w:r>
  </w:p>
  <w:p w:rsidR="00A86FB0" w:rsidRDefault="00A8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B0" w:rsidRDefault="00A86FB0" w:rsidP="00A86FB0">
      <w:pPr>
        <w:spacing w:after="0" w:line="240" w:lineRule="auto"/>
      </w:pPr>
      <w:r>
        <w:separator/>
      </w:r>
    </w:p>
  </w:footnote>
  <w:footnote w:type="continuationSeparator" w:id="0">
    <w:p w:rsidR="00A86FB0" w:rsidRDefault="00A86FB0" w:rsidP="00A8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163"/>
    <w:multiLevelType w:val="hybridMultilevel"/>
    <w:tmpl w:val="63AA08CC"/>
    <w:lvl w:ilvl="0" w:tplc="BD64147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25798"/>
    <w:multiLevelType w:val="hybridMultilevel"/>
    <w:tmpl w:val="F1445CF8"/>
    <w:lvl w:ilvl="0" w:tplc="56B4B0D2">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6B"/>
    <w:rsid w:val="00092742"/>
    <w:rsid w:val="001668C3"/>
    <w:rsid w:val="00181EE4"/>
    <w:rsid w:val="00221BA8"/>
    <w:rsid w:val="002E09EA"/>
    <w:rsid w:val="00324BC3"/>
    <w:rsid w:val="007C2EDD"/>
    <w:rsid w:val="00887FE0"/>
    <w:rsid w:val="00A86FB0"/>
    <w:rsid w:val="00D34B6B"/>
    <w:rsid w:val="00F0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DD0A-EA3C-4A5B-AEF6-8229C44C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B6B"/>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2EDD"/>
    <w:pPr>
      <w:ind w:left="720"/>
      <w:contextualSpacing/>
    </w:pPr>
  </w:style>
  <w:style w:type="paragraph" w:styleId="Header">
    <w:name w:val="header"/>
    <w:basedOn w:val="Normal"/>
    <w:link w:val="HeaderChar"/>
    <w:uiPriority w:val="99"/>
    <w:unhideWhenUsed/>
    <w:rsid w:val="00A86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B0"/>
  </w:style>
  <w:style w:type="paragraph" w:styleId="Footer">
    <w:name w:val="footer"/>
    <w:basedOn w:val="Normal"/>
    <w:link w:val="FooterChar"/>
    <w:uiPriority w:val="99"/>
    <w:unhideWhenUsed/>
    <w:rsid w:val="00A86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2413">
      <w:bodyDiv w:val="1"/>
      <w:marLeft w:val="0"/>
      <w:marRight w:val="0"/>
      <w:marTop w:val="0"/>
      <w:marBottom w:val="0"/>
      <w:divBdr>
        <w:top w:val="none" w:sz="0" w:space="0" w:color="auto"/>
        <w:left w:val="none" w:sz="0" w:space="0" w:color="auto"/>
        <w:bottom w:val="none" w:sz="0" w:space="0" w:color="auto"/>
        <w:right w:val="none" w:sz="0" w:space="0" w:color="auto"/>
      </w:divBdr>
      <w:divsChild>
        <w:div w:id="274752131">
          <w:marLeft w:val="0"/>
          <w:marRight w:val="0"/>
          <w:marTop w:val="0"/>
          <w:marBottom w:val="0"/>
          <w:divBdr>
            <w:top w:val="none" w:sz="0" w:space="0" w:color="auto"/>
            <w:left w:val="none" w:sz="0" w:space="0" w:color="auto"/>
            <w:bottom w:val="none" w:sz="0" w:space="0" w:color="auto"/>
            <w:right w:val="none" w:sz="0" w:space="0" w:color="auto"/>
          </w:divBdr>
          <w:divsChild>
            <w:div w:id="844857246">
              <w:marLeft w:val="0"/>
              <w:marRight w:val="0"/>
              <w:marTop w:val="0"/>
              <w:marBottom w:val="0"/>
              <w:divBdr>
                <w:top w:val="none" w:sz="0" w:space="0" w:color="auto"/>
                <w:left w:val="none" w:sz="0" w:space="0" w:color="auto"/>
                <w:bottom w:val="none" w:sz="0" w:space="0" w:color="auto"/>
                <w:right w:val="none" w:sz="0" w:space="0" w:color="auto"/>
              </w:divBdr>
              <w:divsChild>
                <w:div w:id="1901284499">
                  <w:marLeft w:val="0"/>
                  <w:marRight w:val="0"/>
                  <w:marTop w:val="0"/>
                  <w:marBottom w:val="0"/>
                  <w:divBdr>
                    <w:top w:val="none" w:sz="0" w:space="0" w:color="auto"/>
                    <w:left w:val="none" w:sz="0" w:space="0" w:color="auto"/>
                    <w:bottom w:val="none" w:sz="0" w:space="0" w:color="auto"/>
                    <w:right w:val="none" w:sz="0" w:space="0" w:color="auto"/>
                  </w:divBdr>
                  <w:divsChild>
                    <w:div w:id="1592398669">
                      <w:marLeft w:val="3315"/>
                      <w:marRight w:val="0"/>
                      <w:marTop w:val="0"/>
                      <w:marBottom w:val="0"/>
                      <w:divBdr>
                        <w:top w:val="none" w:sz="0" w:space="0" w:color="auto"/>
                        <w:left w:val="none" w:sz="0" w:space="0" w:color="auto"/>
                        <w:bottom w:val="none" w:sz="0" w:space="0" w:color="auto"/>
                        <w:right w:val="none" w:sz="0" w:space="0" w:color="auto"/>
                      </w:divBdr>
                      <w:divsChild>
                        <w:div w:id="1987657421">
                          <w:marLeft w:val="0"/>
                          <w:marRight w:val="0"/>
                          <w:marTop w:val="0"/>
                          <w:marBottom w:val="0"/>
                          <w:divBdr>
                            <w:top w:val="none" w:sz="0" w:space="0" w:color="auto"/>
                            <w:left w:val="none" w:sz="0" w:space="0" w:color="auto"/>
                            <w:bottom w:val="none" w:sz="0" w:space="0" w:color="auto"/>
                            <w:right w:val="none" w:sz="0" w:space="0" w:color="auto"/>
                          </w:divBdr>
                          <w:divsChild>
                            <w:div w:id="1806972581">
                              <w:marLeft w:val="225"/>
                              <w:marRight w:val="0"/>
                              <w:marTop w:val="150"/>
                              <w:marBottom w:val="225"/>
                              <w:divBdr>
                                <w:top w:val="single" w:sz="6" w:space="15" w:color="E8E8E8"/>
                                <w:left w:val="single" w:sz="6" w:space="26" w:color="E8E8E8"/>
                                <w:bottom w:val="single" w:sz="6" w:space="15" w:color="E8E8E8"/>
                                <w:right w:val="single" w:sz="6" w:space="26" w:color="E8E8E8"/>
                              </w:divBdr>
                              <w:divsChild>
                                <w:div w:id="1917545739">
                                  <w:marLeft w:val="0"/>
                                  <w:marRight w:val="0"/>
                                  <w:marTop w:val="0"/>
                                  <w:marBottom w:val="0"/>
                                  <w:divBdr>
                                    <w:top w:val="none" w:sz="0" w:space="0" w:color="auto"/>
                                    <w:left w:val="none" w:sz="0" w:space="0" w:color="auto"/>
                                    <w:bottom w:val="none" w:sz="0" w:space="0" w:color="auto"/>
                                    <w:right w:val="none" w:sz="0" w:space="0" w:color="auto"/>
                                  </w:divBdr>
                                  <w:divsChild>
                                    <w:div w:id="504318600">
                                      <w:marLeft w:val="0"/>
                                      <w:marRight w:val="0"/>
                                      <w:marTop w:val="0"/>
                                      <w:marBottom w:val="240"/>
                                      <w:divBdr>
                                        <w:top w:val="none" w:sz="0" w:space="0" w:color="auto"/>
                                        <w:left w:val="none" w:sz="0" w:space="0" w:color="auto"/>
                                        <w:bottom w:val="none" w:sz="0" w:space="0" w:color="auto"/>
                                        <w:right w:val="none" w:sz="0" w:space="0" w:color="auto"/>
                                      </w:divBdr>
                                      <w:divsChild>
                                        <w:div w:id="663895088">
                                          <w:marLeft w:val="0"/>
                                          <w:marRight w:val="0"/>
                                          <w:marTop w:val="0"/>
                                          <w:marBottom w:val="0"/>
                                          <w:divBdr>
                                            <w:top w:val="none" w:sz="0" w:space="0" w:color="auto"/>
                                            <w:left w:val="none" w:sz="0" w:space="0" w:color="auto"/>
                                            <w:bottom w:val="none" w:sz="0" w:space="0" w:color="auto"/>
                                            <w:right w:val="none" w:sz="0" w:space="0" w:color="auto"/>
                                          </w:divBdr>
                                          <w:divsChild>
                                            <w:div w:id="1284070557">
                                              <w:marLeft w:val="0"/>
                                              <w:marRight w:val="0"/>
                                              <w:marTop w:val="0"/>
                                              <w:marBottom w:val="0"/>
                                              <w:divBdr>
                                                <w:top w:val="none" w:sz="0" w:space="0" w:color="auto"/>
                                                <w:left w:val="none" w:sz="0" w:space="0" w:color="auto"/>
                                                <w:bottom w:val="none" w:sz="0" w:space="0" w:color="auto"/>
                                                <w:right w:val="none" w:sz="0" w:space="0" w:color="auto"/>
                                              </w:divBdr>
                                              <w:divsChild>
                                                <w:div w:id="1816096281">
                                                  <w:marLeft w:val="0"/>
                                                  <w:marRight w:val="0"/>
                                                  <w:marTop w:val="0"/>
                                                  <w:marBottom w:val="0"/>
                                                  <w:divBdr>
                                                    <w:top w:val="none" w:sz="0" w:space="0" w:color="auto"/>
                                                    <w:left w:val="none" w:sz="0" w:space="0" w:color="auto"/>
                                                    <w:bottom w:val="none" w:sz="0" w:space="0" w:color="auto"/>
                                                    <w:right w:val="none" w:sz="0" w:space="0" w:color="auto"/>
                                                  </w:divBdr>
                                                  <w:divsChild>
                                                    <w:div w:id="8863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Jayne</dc:creator>
  <cp:keywords/>
  <dc:description/>
  <cp:lastModifiedBy>Jones, Sarah</cp:lastModifiedBy>
  <cp:revision>2</cp:revision>
  <dcterms:created xsi:type="dcterms:W3CDTF">2019-08-05T14:01:00Z</dcterms:created>
  <dcterms:modified xsi:type="dcterms:W3CDTF">2019-08-05T14:01:00Z</dcterms:modified>
</cp:coreProperties>
</file>