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2170" w14:textId="4D45E367" w:rsidR="00C8208C" w:rsidRDefault="00C8208C" w:rsidP="00C8208C">
      <w:pPr>
        <w:pStyle w:val="Heading2"/>
        <w:rPr>
          <w:b/>
          <w:bCs/>
        </w:rPr>
      </w:pPr>
      <w:bookmarkStart w:id="0" w:name="_Toc66086476"/>
    </w:p>
    <w:p w14:paraId="5984E096" w14:textId="2CA960D6" w:rsidR="00E66AF2" w:rsidRDefault="00E66AF2" w:rsidP="00E66AF2"/>
    <w:p w14:paraId="72D2BDA9" w14:textId="77777777" w:rsidR="009310F3" w:rsidRPr="00C712BE" w:rsidRDefault="009310F3" w:rsidP="009310F3">
      <w:pPr>
        <w:pStyle w:val="Heading2"/>
        <w:rPr>
          <w:b/>
          <w:bCs/>
        </w:rPr>
      </w:pPr>
      <w:bookmarkStart w:id="1" w:name="_Toc66086489"/>
      <w:r>
        <w:rPr>
          <w:b/>
          <w:bCs/>
        </w:rPr>
        <w:t>4.</w:t>
      </w:r>
      <w:r w:rsidRPr="00C712BE">
        <w:rPr>
          <w:b/>
          <w:bCs/>
        </w:rPr>
        <w:t>14 Mid-Way Review</w:t>
      </w:r>
      <w:bookmarkEnd w:id="1"/>
    </w:p>
    <w:p w14:paraId="19C2E5BF" w14:textId="77777777" w:rsidR="009310F3" w:rsidRDefault="009310F3" w:rsidP="009310F3"/>
    <w:p w14:paraId="64F492D9" w14:textId="77777777" w:rsidR="009310F3" w:rsidRPr="004E3818" w:rsidRDefault="009310F3" w:rsidP="009310F3">
      <w:pPr>
        <w:spacing w:after="200" w:line="276" w:lineRule="auto"/>
        <w:ind w:left="2160" w:firstLine="720"/>
        <w:rPr>
          <w:rFonts w:ascii="Arial" w:eastAsiaTheme="minorHAnsi" w:hAnsi="Arial" w:cs="Arial"/>
          <w:b/>
          <w:u w:val="single"/>
          <w:lang w:eastAsia="en-US"/>
        </w:rPr>
      </w:pPr>
      <w:r w:rsidRPr="004E3818">
        <w:rPr>
          <w:rFonts w:ascii="Arial" w:eastAsiaTheme="minorHAnsi" w:hAnsi="Arial" w:cs="Arial"/>
          <w:b/>
          <w:u w:val="single"/>
          <w:lang w:eastAsia="en-US"/>
        </w:rPr>
        <w:t xml:space="preserve">Mid </w:t>
      </w:r>
      <w:r>
        <w:rPr>
          <w:rFonts w:ascii="Arial" w:eastAsiaTheme="minorHAnsi" w:hAnsi="Arial" w:cs="Arial"/>
          <w:b/>
          <w:u w:val="single"/>
          <w:lang w:eastAsia="en-US"/>
        </w:rPr>
        <w:t>–</w:t>
      </w:r>
      <w:r w:rsidRPr="004E3818">
        <w:rPr>
          <w:rFonts w:ascii="Arial" w:eastAsiaTheme="minorHAnsi" w:hAnsi="Arial" w:cs="Arial"/>
          <w:b/>
          <w:u w:val="single"/>
          <w:lang w:eastAsia="en-US"/>
        </w:rPr>
        <w:t xml:space="preserve"> Way</w:t>
      </w:r>
      <w:r>
        <w:rPr>
          <w:rFonts w:ascii="Arial" w:eastAsiaTheme="minorHAnsi" w:hAnsi="Arial" w:cs="Arial"/>
          <w:b/>
          <w:u w:val="single"/>
          <w:lang w:eastAsia="en-US"/>
        </w:rPr>
        <w:t xml:space="preserve"> Review</w:t>
      </w:r>
      <w:r w:rsidRPr="004E3818">
        <w:rPr>
          <w:rFonts w:ascii="Arial" w:eastAsiaTheme="minorHAnsi" w:hAnsi="Arial" w:cs="Arial"/>
          <w:b/>
          <w:u w:val="single"/>
          <w:lang w:eastAsia="en-US"/>
        </w:rPr>
        <w:t xml:space="preserve"> Monitoring Guidance </w:t>
      </w:r>
    </w:p>
    <w:p w14:paraId="15B26D18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 w:rsidRPr="004E3818">
        <w:rPr>
          <w:rFonts w:ascii="Arial" w:eastAsiaTheme="minorHAnsi" w:hAnsi="Arial" w:cs="Arial"/>
          <w:bCs/>
          <w:lang w:eastAsia="en-US"/>
        </w:rPr>
        <w:t>The Child Protection Chairs</w:t>
      </w:r>
      <w:r>
        <w:rPr>
          <w:rFonts w:ascii="Arial" w:eastAsiaTheme="minorHAnsi" w:hAnsi="Arial" w:cs="Arial"/>
          <w:bCs/>
          <w:lang w:eastAsia="en-US"/>
        </w:rPr>
        <w:t>’</w:t>
      </w:r>
      <w:r w:rsidRPr="004E3818">
        <w:rPr>
          <w:rFonts w:ascii="Arial" w:eastAsiaTheme="minorHAnsi" w:hAnsi="Arial" w:cs="Arial"/>
          <w:bCs/>
          <w:lang w:eastAsia="en-US"/>
        </w:rPr>
        <w:t xml:space="preserve"> Service will undertake a mid-way review monitoring of children &amp; young people subject to child protection planning to support case progression and to identify and respond to early indications of drift within case planning.  Mid-Way reviews are held jointly with the SW/TM. </w:t>
      </w:r>
    </w:p>
    <w:p w14:paraId="790FF886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 w:rsidRPr="004E3818">
        <w:rPr>
          <w:rFonts w:ascii="Arial" w:eastAsiaTheme="minorHAnsi" w:hAnsi="Arial" w:cs="Arial"/>
          <w:bCs/>
          <w:lang w:eastAsia="en-US"/>
        </w:rPr>
        <w:t xml:space="preserve">The Child Protection Chair will record the Mid-Way review on the child/ young person’s </w:t>
      </w:r>
      <w:r>
        <w:rPr>
          <w:rFonts w:ascii="Arial" w:eastAsiaTheme="minorHAnsi" w:hAnsi="Arial" w:cs="Arial"/>
          <w:bCs/>
          <w:lang w:eastAsia="en-US"/>
        </w:rPr>
        <w:t>L</w:t>
      </w:r>
      <w:r w:rsidRPr="004E3818">
        <w:rPr>
          <w:rFonts w:ascii="Arial" w:eastAsiaTheme="minorHAnsi" w:hAnsi="Arial" w:cs="Arial"/>
          <w:bCs/>
          <w:lang w:eastAsia="en-US"/>
        </w:rPr>
        <w:t>iberi file.</w:t>
      </w:r>
    </w:p>
    <w:p w14:paraId="74BE1F78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 w:rsidRPr="004E3818">
        <w:rPr>
          <w:rFonts w:ascii="Arial" w:eastAsiaTheme="minorHAnsi" w:hAnsi="Arial" w:cs="Arial"/>
          <w:bCs/>
          <w:lang w:eastAsia="en-US"/>
        </w:rPr>
        <w:t>The Child Protection Chairs</w:t>
      </w:r>
      <w:r>
        <w:rPr>
          <w:rFonts w:ascii="Arial" w:eastAsiaTheme="minorHAnsi" w:hAnsi="Arial" w:cs="Arial"/>
          <w:bCs/>
          <w:lang w:eastAsia="en-US"/>
        </w:rPr>
        <w:t>’</w:t>
      </w:r>
      <w:r w:rsidRPr="004E3818">
        <w:rPr>
          <w:rFonts w:ascii="Arial" w:eastAsiaTheme="minorHAnsi" w:hAnsi="Arial" w:cs="Arial"/>
          <w:bCs/>
          <w:lang w:eastAsia="en-US"/>
        </w:rPr>
        <w:t xml:space="preserve"> Service aims to undertake a mid-way review between all ICPC and RCPC’s and subsequent conferences*</w:t>
      </w:r>
      <w:r>
        <w:rPr>
          <w:rFonts w:ascii="Arial" w:eastAsiaTheme="minorHAnsi" w:hAnsi="Arial" w:cs="Arial"/>
          <w:bCs/>
          <w:lang w:eastAsia="en-US"/>
        </w:rPr>
        <w:t>.</w:t>
      </w:r>
    </w:p>
    <w:p w14:paraId="3CCA22EC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 w:rsidRPr="004E3818">
        <w:rPr>
          <w:rFonts w:ascii="Arial" w:eastAsiaTheme="minorHAnsi" w:hAnsi="Arial" w:cs="Arial"/>
          <w:bCs/>
          <w:lang w:eastAsia="en-US"/>
        </w:rPr>
        <w:t>The following areas will be considered within the Mid Way monitoring review</w:t>
      </w:r>
      <w:r>
        <w:rPr>
          <w:rFonts w:ascii="Arial" w:eastAsiaTheme="minorHAnsi" w:hAnsi="Arial" w:cs="Arial"/>
          <w:bCs/>
          <w:lang w:eastAsia="en-US"/>
        </w:rPr>
        <w:t>:</w:t>
      </w:r>
      <w:r w:rsidRPr="004E3818">
        <w:rPr>
          <w:rFonts w:ascii="Arial" w:eastAsiaTheme="minorHAnsi" w:hAnsi="Arial" w:cs="Arial"/>
          <w:bCs/>
          <w:lang w:eastAsia="en-US"/>
        </w:rPr>
        <w:t xml:space="preserve">  </w:t>
      </w:r>
    </w:p>
    <w:p w14:paraId="31AA99F7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Chronology – is it up to date with key events and in line with Kent guidance &amp; policy?</w:t>
      </w:r>
    </w:p>
    <w:p w14:paraId="78E17796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Supervision/management </w:t>
      </w:r>
      <w:proofErr w:type="gramStart"/>
      <w:r w:rsidRPr="004E3818">
        <w:rPr>
          <w:rFonts w:ascii="Arial" w:eastAsiaTheme="minorHAnsi" w:hAnsi="Arial" w:cs="Arial"/>
          <w:lang w:eastAsia="en-US"/>
        </w:rPr>
        <w:t xml:space="preserve">oversight </w:t>
      </w:r>
      <w:r>
        <w:rPr>
          <w:rFonts w:ascii="Arial" w:eastAsiaTheme="minorHAnsi" w:hAnsi="Arial" w:cs="Arial"/>
          <w:lang w:eastAsia="en-US"/>
        </w:rPr>
        <w:t xml:space="preserve"> -</w:t>
      </w:r>
      <w:proofErr w:type="gramEnd"/>
      <w:r>
        <w:rPr>
          <w:rFonts w:ascii="Arial" w:eastAsiaTheme="minorHAnsi" w:hAnsi="Arial" w:cs="Arial"/>
          <w:lang w:eastAsia="en-US"/>
        </w:rPr>
        <w:t xml:space="preserve"> is it </w:t>
      </w:r>
      <w:r w:rsidRPr="004E3818">
        <w:rPr>
          <w:rFonts w:ascii="Arial" w:eastAsiaTheme="minorHAnsi" w:hAnsi="Arial" w:cs="Arial"/>
          <w:lang w:eastAsia="en-US"/>
        </w:rPr>
        <w:t>up to date and addressing CPC plan effectively</w:t>
      </w:r>
      <w:r>
        <w:rPr>
          <w:rFonts w:ascii="Arial" w:eastAsiaTheme="minorHAnsi" w:hAnsi="Arial" w:cs="Arial"/>
          <w:lang w:eastAsia="en-US"/>
        </w:rPr>
        <w:t>?</w:t>
      </w:r>
    </w:p>
    <w:p w14:paraId="7CB5B40B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Case notes</w:t>
      </w:r>
      <w:r>
        <w:rPr>
          <w:rFonts w:ascii="Arial" w:eastAsiaTheme="minorHAnsi" w:hAnsi="Arial" w:cs="Arial"/>
          <w:lang w:eastAsia="en-US"/>
        </w:rPr>
        <w:t xml:space="preserve"> - </w:t>
      </w:r>
      <w:r w:rsidRPr="004E3818">
        <w:rPr>
          <w:rFonts w:ascii="Arial" w:eastAsiaTheme="minorHAnsi" w:hAnsi="Arial" w:cs="Arial"/>
          <w:lang w:eastAsia="en-US"/>
        </w:rPr>
        <w:t>evident/up to date</w:t>
      </w:r>
    </w:p>
    <w:p w14:paraId="61C90241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Visits – are timescales achieved/child(ren) seen alone</w:t>
      </w:r>
      <w:r>
        <w:rPr>
          <w:rFonts w:ascii="Arial" w:eastAsiaTheme="minorHAnsi" w:hAnsi="Arial" w:cs="Arial"/>
          <w:lang w:eastAsia="en-US"/>
        </w:rPr>
        <w:t>?</w:t>
      </w:r>
    </w:p>
    <w:p w14:paraId="776865FB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Is d</w:t>
      </w:r>
      <w:r w:rsidRPr="004E3818">
        <w:rPr>
          <w:rFonts w:ascii="Arial" w:eastAsiaTheme="minorHAnsi" w:hAnsi="Arial" w:cs="Arial"/>
          <w:lang w:eastAsia="en-US"/>
        </w:rPr>
        <w:t>irect work with the child(ren)</w:t>
      </w:r>
      <w:r>
        <w:rPr>
          <w:rFonts w:ascii="Arial" w:eastAsiaTheme="minorHAnsi" w:hAnsi="Arial" w:cs="Arial"/>
          <w:lang w:eastAsia="en-US"/>
        </w:rPr>
        <w:t xml:space="preserve"> and the child(ren)’s</w:t>
      </w:r>
      <w:r w:rsidRPr="004E3818">
        <w:rPr>
          <w:rFonts w:ascii="Arial" w:eastAsiaTheme="minorHAnsi" w:hAnsi="Arial" w:cs="Arial"/>
          <w:lang w:eastAsia="en-US"/>
        </w:rPr>
        <w:t xml:space="preserve"> voice/</w:t>
      </w:r>
      <w:proofErr w:type="gramStart"/>
      <w:r w:rsidRPr="004E3818">
        <w:rPr>
          <w:rFonts w:ascii="Arial" w:eastAsiaTheme="minorHAnsi" w:hAnsi="Arial" w:cs="Arial"/>
          <w:lang w:eastAsia="en-US"/>
        </w:rPr>
        <w:t>wishes</w:t>
      </w:r>
      <w:proofErr w:type="gramEnd"/>
      <w:r w:rsidRPr="004E3818">
        <w:rPr>
          <w:rFonts w:ascii="Arial" w:eastAsiaTheme="minorHAnsi" w:hAnsi="Arial" w:cs="Arial"/>
          <w:lang w:eastAsia="en-US"/>
        </w:rPr>
        <w:t xml:space="preserve"> and feelings recorded</w:t>
      </w:r>
      <w:r>
        <w:rPr>
          <w:rFonts w:ascii="Arial" w:eastAsiaTheme="minorHAnsi" w:hAnsi="Arial" w:cs="Arial"/>
          <w:lang w:eastAsia="en-US"/>
        </w:rPr>
        <w:t>?</w:t>
      </w:r>
    </w:p>
    <w:p w14:paraId="7B1D3D60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Core groups – are they happening/is child protection plan being reviewed/are safety goals being reviewed/are relevant agencies participating? If not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E3818">
        <w:rPr>
          <w:rFonts w:ascii="Arial" w:eastAsiaTheme="minorHAnsi" w:hAnsi="Arial" w:cs="Arial"/>
          <w:lang w:eastAsia="en-US"/>
        </w:rPr>
        <w:t>are appropriate escalations being made?</w:t>
      </w:r>
    </w:p>
    <w:p w14:paraId="2BC87AFF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Is </w:t>
      </w:r>
      <w:r>
        <w:rPr>
          <w:rFonts w:ascii="Arial" w:eastAsiaTheme="minorHAnsi" w:hAnsi="Arial" w:cs="Arial"/>
          <w:lang w:eastAsia="en-US"/>
        </w:rPr>
        <w:t xml:space="preserve">the </w:t>
      </w:r>
      <w:r w:rsidRPr="004E3818">
        <w:rPr>
          <w:rFonts w:ascii="Arial" w:eastAsiaTheme="minorHAnsi" w:hAnsi="Arial" w:cs="Arial"/>
          <w:lang w:eastAsia="en-US"/>
        </w:rPr>
        <w:t>social worker evidencing</w:t>
      </w:r>
      <w:r>
        <w:rPr>
          <w:rFonts w:ascii="Arial" w:eastAsiaTheme="minorHAnsi" w:hAnsi="Arial" w:cs="Arial"/>
          <w:lang w:eastAsia="en-US"/>
        </w:rPr>
        <w:t xml:space="preserve"> the</w:t>
      </w:r>
      <w:r w:rsidRPr="004E3818">
        <w:rPr>
          <w:rFonts w:ascii="Arial" w:eastAsiaTheme="minorHAnsi" w:hAnsi="Arial" w:cs="Arial"/>
          <w:lang w:eastAsia="en-US"/>
        </w:rPr>
        <w:t xml:space="preserve"> impact of </w:t>
      </w:r>
      <w:r>
        <w:rPr>
          <w:rFonts w:ascii="Arial" w:eastAsiaTheme="minorHAnsi" w:hAnsi="Arial" w:cs="Arial"/>
          <w:lang w:eastAsia="en-US"/>
        </w:rPr>
        <w:t xml:space="preserve">the </w:t>
      </w:r>
      <w:r w:rsidRPr="004E3818">
        <w:rPr>
          <w:rFonts w:ascii="Arial" w:eastAsiaTheme="minorHAnsi" w:hAnsi="Arial" w:cs="Arial"/>
          <w:lang w:eastAsia="en-US"/>
        </w:rPr>
        <w:t>plan on the child(ren) and where?</w:t>
      </w:r>
    </w:p>
    <w:p w14:paraId="45234A80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Summary of progress of CP plan</w:t>
      </w:r>
      <w:r>
        <w:rPr>
          <w:rFonts w:ascii="Arial" w:eastAsiaTheme="minorHAnsi" w:hAnsi="Arial" w:cs="Arial"/>
          <w:lang w:eastAsia="en-US"/>
        </w:rPr>
        <w:t>.</w:t>
      </w:r>
    </w:p>
    <w:p w14:paraId="75EDDD60" w14:textId="77777777" w:rsidR="009310F3" w:rsidRPr="004E3818" w:rsidRDefault="009310F3" w:rsidP="009310F3">
      <w:pPr>
        <w:numPr>
          <w:ilvl w:val="0"/>
          <w:numId w:val="47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Are any actions needed before the next conference? </w:t>
      </w:r>
    </w:p>
    <w:p w14:paraId="415293A7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17F7372D" w14:textId="77777777" w:rsidR="009310F3" w:rsidRPr="004E3818" w:rsidRDefault="009310F3" w:rsidP="009310F3">
      <w:pPr>
        <w:spacing w:after="200" w:line="276" w:lineRule="auto"/>
        <w:rPr>
          <w:rFonts w:ascii="Arial" w:eastAsiaTheme="minorHAnsi" w:hAnsi="Arial" w:cs="Arial"/>
          <w:b/>
          <w:u w:val="single"/>
          <w:lang w:eastAsia="en-US"/>
        </w:rPr>
      </w:pPr>
      <w:r w:rsidRPr="004E3818">
        <w:rPr>
          <w:rFonts w:ascii="Arial" w:eastAsiaTheme="minorHAnsi" w:hAnsi="Arial" w:cs="Arial"/>
          <w:b/>
          <w:u w:val="single"/>
          <w:lang w:eastAsia="en-US"/>
        </w:rPr>
        <w:t xml:space="preserve">Prompts for conference </w:t>
      </w:r>
      <w:proofErr w:type="gramStart"/>
      <w:r>
        <w:rPr>
          <w:rFonts w:ascii="Arial" w:eastAsiaTheme="minorHAnsi" w:hAnsi="Arial" w:cs="Arial"/>
          <w:b/>
          <w:u w:val="single"/>
          <w:lang w:eastAsia="en-US"/>
        </w:rPr>
        <w:t>C</w:t>
      </w:r>
      <w:r w:rsidRPr="004E3818">
        <w:rPr>
          <w:rFonts w:ascii="Arial" w:eastAsiaTheme="minorHAnsi" w:hAnsi="Arial" w:cs="Arial"/>
          <w:b/>
          <w:u w:val="single"/>
          <w:lang w:eastAsia="en-US"/>
        </w:rPr>
        <w:t>hairs</w:t>
      </w:r>
      <w:proofErr w:type="gramEnd"/>
    </w:p>
    <w:p w14:paraId="020C7418" w14:textId="77777777" w:rsidR="009310F3" w:rsidRPr="004E3818" w:rsidRDefault="009310F3" w:rsidP="009310F3">
      <w:pPr>
        <w:numPr>
          <w:ilvl w:val="0"/>
          <w:numId w:val="48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Email social worker/team manager to alert them to monitoring on </w:t>
      </w:r>
      <w:r>
        <w:rPr>
          <w:rFonts w:ascii="Arial" w:eastAsiaTheme="minorHAnsi" w:hAnsi="Arial" w:cs="Arial"/>
          <w:lang w:eastAsia="en-US"/>
        </w:rPr>
        <w:t>Li</w:t>
      </w:r>
      <w:r w:rsidRPr="004E3818">
        <w:rPr>
          <w:rFonts w:ascii="Arial" w:eastAsiaTheme="minorHAnsi" w:hAnsi="Arial" w:cs="Arial"/>
          <w:lang w:eastAsia="en-US"/>
        </w:rPr>
        <w:t xml:space="preserve">beri and set meeting </w:t>
      </w:r>
      <w:proofErr w:type="gramStart"/>
      <w:r w:rsidRPr="004E3818">
        <w:rPr>
          <w:rFonts w:ascii="Arial" w:eastAsiaTheme="minorHAnsi" w:hAnsi="Arial" w:cs="Arial"/>
          <w:lang w:eastAsia="en-US"/>
        </w:rPr>
        <w:t>up</w:t>
      </w:r>
      <w:proofErr w:type="gramEnd"/>
    </w:p>
    <w:p w14:paraId="32CE7FC8" w14:textId="77777777" w:rsidR="009310F3" w:rsidRPr="004E3818" w:rsidRDefault="009310F3" w:rsidP="009310F3">
      <w:pPr>
        <w:numPr>
          <w:ilvl w:val="0"/>
          <w:numId w:val="48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Record </w:t>
      </w:r>
      <w:proofErr w:type="gramStart"/>
      <w:r w:rsidRPr="004E3818">
        <w:rPr>
          <w:rFonts w:ascii="Arial" w:eastAsiaTheme="minorHAnsi" w:hAnsi="Arial" w:cs="Arial"/>
          <w:lang w:eastAsia="en-US"/>
        </w:rPr>
        <w:t>case</w:t>
      </w:r>
      <w:proofErr w:type="gramEnd"/>
      <w:r w:rsidRPr="004E3818">
        <w:rPr>
          <w:rFonts w:ascii="Arial" w:eastAsiaTheme="minorHAnsi" w:hAnsi="Arial" w:cs="Arial"/>
          <w:lang w:eastAsia="en-US"/>
        </w:rPr>
        <w:t xml:space="preserve"> note on </w:t>
      </w:r>
      <w:r>
        <w:rPr>
          <w:rFonts w:ascii="Arial" w:eastAsiaTheme="minorHAnsi" w:hAnsi="Arial" w:cs="Arial"/>
          <w:lang w:eastAsia="en-US"/>
        </w:rPr>
        <w:t>L</w:t>
      </w:r>
      <w:r w:rsidRPr="004E3818">
        <w:rPr>
          <w:rFonts w:ascii="Arial" w:eastAsiaTheme="minorHAnsi" w:hAnsi="Arial" w:cs="Arial"/>
          <w:lang w:eastAsia="en-US"/>
        </w:rPr>
        <w:t>iberi -following telephone/face to face discussion between conference chair and social worker</w:t>
      </w:r>
    </w:p>
    <w:p w14:paraId="3708E4F0" w14:textId="77777777" w:rsidR="009310F3" w:rsidRDefault="009310F3" w:rsidP="009310F3">
      <w:pPr>
        <w:numPr>
          <w:ilvl w:val="0"/>
          <w:numId w:val="48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 xml:space="preserve">If a safety plan is needed and there is not one, social worker to be alerted to </w:t>
      </w:r>
      <w:proofErr w:type="gramStart"/>
      <w:r w:rsidRPr="004E3818">
        <w:rPr>
          <w:rFonts w:ascii="Arial" w:eastAsiaTheme="minorHAnsi" w:hAnsi="Arial" w:cs="Arial"/>
          <w:lang w:eastAsia="en-US"/>
        </w:rPr>
        <w:t>this</w:t>
      </w:r>
      <w:proofErr w:type="gramEnd"/>
    </w:p>
    <w:p w14:paraId="6B43AE64" w14:textId="77777777" w:rsidR="009310F3" w:rsidRPr="004E3818" w:rsidRDefault="009310F3" w:rsidP="009310F3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1E861F0D" w14:textId="77777777" w:rsidR="009310F3" w:rsidRDefault="009310F3" w:rsidP="009310F3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4E3818">
        <w:rPr>
          <w:rFonts w:ascii="Arial" w:eastAsiaTheme="minorHAnsi" w:hAnsi="Arial" w:cs="Arial"/>
          <w:lang w:eastAsia="en-US"/>
        </w:rPr>
        <w:t>*</w:t>
      </w:r>
      <w:r w:rsidRPr="004E3818">
        <w:rPr>
          <w:rFonts w:ascii="Arial" w:eastAsiaTheme="minorHAnsi" w:hAnsi="Arial" w:cs="Arial"/>
          <w:i/>
          <w:iCs/>
          <w:lang w:eastAsia="en-US"/>
        </w:rPr>
        <w:t xml:space="preserve">The CPC QA Manager may at times </w:t>
      </w:r>
      <w:proofErr w:type="gramStart"/>
      <w:r w:rsidRPr="004E3818">
        <w:rPr>
          <w:rFonts w:ascii="Arial" w:eastAsiaTheme="minorHAnsi" w:hAnsi="Arial" w:cs="Arial"/>
          <w:i/>
          <w:iCs/>
          <w:lang w:eastAsia="en-US"/>
        </w:rPr>
        <w:t>make a decision</w:t>
      </w:r>
      <w:proofErr w:type="gramEnd"/>
      <w:r w:rsidRPr="004E3818">
        <w:rPr>
          <w:rFonts w:ascii="Arial" w:eastAsiaTheme="minorHAnsi" w:hAnsi="Arial" w:cs="Arial"/>
          <w:i/>
          <w:iCs/>
          <w:lang w:eastAsia="en-US"/>
        </w:rPr>
        <w:t xml:space="preserve"> in conjunction with the Service Manager Safeguarding &amp; QA that not ALL Mid Way monitoring can be achieved due to resources / capacity. On these occasions the CPC QA manager will discuss with the individual CPC priority need for Mid-Way review, and decisions will be recorded within supervision. Priority will be given to </w:t>
      </w:r>
      <w:r>
        <w:rPr>
          <w:rFonts w:ascii="Arial" w:eastAsiaTheme="minorHAnsi" w:hAnsi="Arial" w:cs="Arial"/>
          <w:i/>
          <w:iCs/>
          <w:lang w:eastAsia="en-US"/>
        </w:rPr>
        <w:t>u</w:t>
      </w:r>
      <w:r w:rsidRPr="004E3818">
        <w:rPr>
          <w:rFonts w:ascii="Arial" w:eastAsiaTheme="minorHAnsi" w:hAnsi="Arial" w:cs="Arial"/>
          <w:i/>
          <w:iCs/>
          <w:lang w:eastAsia="en-US"/>
        </w:rPr>
        <w:t xml:space="preserve">nborn babies, under </w:t>
      </w:r>
      <w:r>
        <w:rPr>
          <w:rFonts w:ascii="Arial" w:eastAsiaTheme="minorHAnsi" w:hAnsi="Arial" w:cs="Arial"/>
          <w:i/>
          <w:iCs/>
          <w:lang w:eastAsia="en-US"/>
        </w:rPr>
        <w:t>two</w:t>
      </w:r>
      <w:r w:rsidRPr="004E3818">
        <w:rPr>
          <w:rFonts w:ascii="Arial" w:eastAsiaTheme="minorHAnsi" w:hAnsi="Arial" w:cs="Arial"/>
          <w:i/>
          <w:iCs/>
          <w:lang w:eastAsia="en-US"/>
        </w:rPr>
        <w:t xml:space="preserve">’s, PLO, repeat plans, long plans and any cases noted to be of concern to the CPC. CPC QA manager will update District Service </w:t>
      </w:r>
      <w:proofErr w:type="gramStart"/>
      <w:r w:rsidRPr="004E3818">
        <w:rPr>
          <w:rFonts w:ascii="Arial" w:eastAsiaTheme="minorHAnsi" w:hAnsi="Arial" w:cs="Arial"/>
          <w:i/>
          <w:iCs/>
          <w:lang w:eastAsia="en-US"/>
        </w:rPr>
        <w:t>Managers</w:t>
      </w:r>
      <w:proofErr w:type="gramEnd"/>
      <w:r w:rsidRPr="004E3818">
        <w:rPr>
          <w:rFonts w:ascii="Arial" w:eastAsiaTheme="minorHAnsi" w:hAnsi="Arial" w:cs="Arial"/>
          <w:i/>
          <w:iCs/>
          <w:lang w:eastAsia="en-US"/>
        </w:rPr>
        <w:t xml:space="preserve"> as necessary.</w:t>
      </w:r>
      <w:r w:rsidRPr="004E3818">
        <w:rPr>
          <w:rFonts w:ascii="Arial" w:eastAsiaTheme="minorHAnsi" w:hAnsi="Arial" w:cs="Arial"/>
          <w:lang w:eastAsia="en-US"/>
        </w:rPr>
        <w:t xml:space="preserve">   </w:t>
      </w:r>
    </w:p>
    <w:p w14:paraId="1A61FEC8" w14:textId="77777777" w:rsidR="009310F3" w:rsidRDefault="009310F3" w:rsidP="009310F3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3C77F5F4" w14:textId="77777777" w:rsidR="009310F3" w:rsidRDefault="009310F3" w:rsidP="009310F3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78F4B600" w14:textId="77777777" w:rsidR="009310F3" w:rsidRPr="00E66AF2" w:rsidRDefault="009310F3" w:rsidP="00E66AF2"/>
    <w:bookmarkEnd w:id="0"/>
    <w:sectPr w:rsidR="009310F3" w:rsidRPr="00E66AF2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F02C52"/>
    <w:multiLevelType w:val="hybridMultilevel"/>
    <w:tmpl w:val="1F62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52CFD"/>
    <w:multiLevelType w:val="hybridMultilevel"/>
    <w:tmpl w:val="5228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49CC"/>
    <w:multiLevelType w:val="hybridMultilevel"/>
    <w:tmpl w:val="970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B08"/>
    <w:multiLevelType w:val="hybridMultilevel"/>
    <w:tmpl w:val="B1CA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A39FB"/>
    <w:multiLevelType w:val="hybridMultilevel"/>
    <w:tmpl w:val="34C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32595"/>
    <w:multiLevelType w:val="hybridMultilevel"/>
    <w:tmpl w:val="DD0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D87DD2"/>
    <w:multiLevelType w:val="hybridMultilevel"/>
    <w:tmpl w:val="575C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450E3"/>
    <w:multiLevelType w:val="hybridMultilevel"/>
    <w:tmpl w:val="A15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6FE1374"/>
    <w:multiLevelType w:val="hybridMultilevel"/>
    <w:tmpl w:val="0526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C03FD"/>
    <w:multiLevelType w:val="hybridMultilevel"/>
    <w:tmpl w:val="5032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C7751"/>
    <w:multiLevelType w:val="hybridMultilevel"/>
    <w:tmpl w:val="25F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0D89"/>
    <w:multiLevelType w:val="hybridMultilevel"/>
    <w:tmpl w:val="5A6C52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E36088"/>
    <w:multiLevelType w:val="hybridMultilevel"/>
    <w:tmpl w:val="2DA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1B3F"/>
    <w:multiLevelType w:val="hybridMultilevel"/>
    <w:tmpl w:val="129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76252"/>
    <w:multiLevelType w:val="hybridMultilevel"/>
    <w:tmpl w:val="D3D8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037A3"/>
    <w:multiLevelType w:val="hybridMultilevel"/>
    <w:tmpl w:val="2CB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F0995"/>
    <w:multiLevelType w:val="hybridMultilevel"/>
    <w:tmpl w:val="7DEE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94CA3"/>
    <w:multiLevelType w:val="hybridMultilevel"/>
    <w:tmpl w:val="107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128"/>
    <w:multiLevelType w:val="hybridMultilevel"/>
    <w:tmpl w:val="B1A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93800"/>
    <w:multiLevelType w:val="hybridMultilevel"/>
    <w:tmpl w:val="16F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83CEB"/>
    <w:multiLevelType w:val="hybridMultilevel"/>
    <w:tmpl w:val="4F6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0205"/>
    <w:multiLevelType w:val="hybridMultilevel"/>
    <w:tmpl w:val="AD5C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530"/>
    <w:multiLevelType w:val="hybridMultilevel"/>
    <w:tmpl w:val="EABE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B15C5"/>
    <w:multiLevelType w:val="hybridMultilevel"/>
    <w:tmpl w:val="49E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D12F8"/>
    <w:multiLevelType w:val="hybridMultilevel"/>
    <w:tmpl w:val="B31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438B6"/>
    <w:multiLevelType w:val="hybridMultilevel"/>
    <w:tmpl w:val="B89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0"/>
  </w:num>
  <w:num w:numId="5">
    <w:abstractNumId w:val="44"/>
  </w:num>
  <w:num w:numId="6">
    <w:abstractNumId w:val="11"/>
  </w:num>
  <w:num w:numId="7">
    <w:abstractNumId w:val="18"/>
  </w:num>
  <w:num w:numId="8">
    <w:abstractNumId w:val="34"/>
  </w:num>
  <w:num w:numId="9">
    <w:abstractNumId w:val="42"/>
  </w:num>
  <w:num w:numId="10">
    <w:abstractNumId w:val="27"/>
  </w:num>
  <w:num w:numId="11">
    <w:abstractNumId w:val="3"/>
  </w:num>
  <w:num w:numId="12">
    <w:abstractNumId w:val="43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21"/>
  </w:num>
  <w:num w:numId="18">
    <w:abstractNumId w:val="47"/>
  </w:num>
  <w:num w:numId="19">
    <w:abstractNumId w:val="28"/>
  </w:num>
  <w:num w:numId="20">
    <w:abstractNumId w:val="37"/>
  </w:num>
  <w:num w:numId="21">
    <w:abstractNumId w:val="36"/>
  </w:num>
  <w:num w:numId="22">
    <w:abstractNumId w:val="25"/>
  </w:num>
  <w:num w:numId="23">
    <w:abstractNumId w:val="10"/>
  </w:num>
  <w:num w:numId="24">
    <w:abstractNumId w:val="8"/>
  </w:num>
  <w:num w:numId="25">
    <w:abstractNumId w:val="40"/>
  </w:num>
  <w:num w:numId="26">
    <w:abstractNumId w:val="46"/>
  </w:num>
  <w:num w:numId="27">
    <w:abstractNumId w:val="6"/>
  </w:num>
  <w:num w:numId="28">
    <w:abstractNumId w:val="26"/>
  </w:num>
  <w:num w:numId="29">
    <w:abstractNumId w:val="13"/>
  </w:num>
  <w:num w:numId="30">
    <w:abstractNumId w:val="22"/>
  </w:num>
  <w:num w:numId="31">
    <w:abstractNumId w:val="38"/>
  </w:num>
  <w:num w:numId="32">
    <w:abstractNumId w:val="9"/>
  </w:num>
  <w:num w:numId="33">
    <w:abstractNumId w:val="31"/>
  </w:num>
  <w:num w:numId="34">
    <w:abstractNumId w:val="14"/>
  </w:num>
  <w:num w:numId="35">
    <w:abstractNumId w:val="17"/>
  </w:num>
  <w:num w:numId="36">
    <w:abstractNumId w:val="45"/>
  </w:num>
  <w:num w:numId="37">
    <w:abstractNumId w:val="24"/>
  </w:num>
  <w:num w:numId="38">
    <w:abstractNumId w:val="19"/>
  </w:num>
  <w:num w:numId="39">
    <w:abstractNumId w:val="32"/>
  </w:num>
  <w:num w:numId="40">
    <w:abstractNumId w:val="7"/>
  </w:num>
  <w:num w:numId="41">
    <w:abstractNumId w:val="41"/>
  </w:num>
  <w:num w:numId="42">
    <w:abstractNumId w:val="12"/>
  </w:num>
  <w:num w:numId="43">
    <w:abstractNumId w:val="39"/>
  </w:num>
  <w:num w:numId="44">
    <w:abstractNumId w:val="1"/>
  </w:num>
  <w:num w:numId="45">
    <w:abstractNumId w:val="23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0E4153"/>
    <w:rsid w:val="001057F2"/>
    <w:rsid w:val="00134EED"/>
    <w:rsid w:val="00570C2D"/>
    <w:rsid w:val="005E33BD"/>
    <w:rsid w:val="0061003B"/>
    <w:rsid w:val="0061073E"/>
    <w:rsid w:val="007F1943"/>
    <w:rsid w:val="009310F3"/>
    <w:rsid w:val="00962223"/>
    <w:rsid w:val="00970FBE"/>
    <w:rsid w:val="009B1A8A"/>
    <w:rsid w:val="00A92979"/>
    <w:rsid w:val="00B774A2"/>
    <w:rsid w:val="00BF0B61"/>
    <w:rsid w:val="00C8208C"/>
    <w:rsid w:val="00DC0AD4"/>
    <w:rsid w:val="00E66AF2"/>
    <w:rsid w:val="00E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4A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C8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2D"/>
    <w:pPr>
      <w:spacing w:before="100" w:beforeAutospacing="1" w:after="100" w:afterAutospacing="1" w:line="33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2021-03-19T13:08:00Z</dcterms:created>
  <dcterms:modified xsi:type="dcterms:W3CDTF">2021-03-19T13:08:00Z</dcterms:modified>
</cp:coreProperties>
</file>