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B8A" w:rsidRDefault="00211B8A" w:rsidP="00211B8A">
      <w:pPr>
        <w:tabs>
          <w:tab w:val="center" w:pos="4320"/>
          <w:tab w:val="right" w:pos="8640"/>
        </w:tabs>
        <w:rPr>
          <w:color w:val="4BACC6" w:themeColor="accent5"/>
          <w:sz w:val="48"/>
          <w:szCs w:val="48"/>
        </w:rPr>
      </w:pPr>
    </w:p>
    <w:p w:rsidR="002B50B2" w:rsidRPr="002B50B2" w:rsidRDefault="002B50B2" w:rsidP="002B50B2">
      <w:pPr>
        <w:jc w:val="center"/>
        <w:rPr>
          <w:rFonts w:ascii="Arial" w:hAnsi="Arial" w:cs="Arial"/>
          <w:b/>
          <w:bCs/>
          <w:i/>
          <w:color w:val="1F497D" w:themeColor="text2"/>
        </w:rPr>
      </w:pPr>
      <w:r w:rsidRPr="002B50B2">
        <w:rPr>
          <w:rFonts w:ascii="Arial" w:hAnsi="Arial" w:cs="Arial"/>
          <w:b/>
          <w:color w:val="1F497D" w:themeColor="text2"/>
          <w:sz w:val="52"/>
          <w:szCs w:val="52"/>
        </w:rPr>
        <w:t xml:space="preserve">Parenting </w:t>
      </w:r>
      <w:r w:rsidRPr="002B50B2">
        <w:rPr>
          <w:rFonts w:ascii="Arial" w:hAnsi="Arial" w:cs="Arial"/>
          <w:b/>
          <w:bCs/>
          <w:color w:val="1F497D" w:themeColor="text2"/>
          <w:sz w:val="52"/>
          <w:szCs w:val="52"/>
        </w:rPr>
        <w:t>Assessments</w:t>
      </w:r>
      <w:r w:rsidRPr="002B50B2">
        <w:rPr>
          <w:rFonts w:ascii="Arial" w:hAnsi="Arial" w:cs="Arial"/>
          <w:b/>
          <w:bCs/>
          <w:i/>
          <w:color w:val="1F497D" w:themeColor="text2"/>
        </w:rPr>
        <w:t xml:space="preserve"> </w:t>
      </w:r>
    </w:p>
    <w:p w:rsidR="002B50B2" w:rsidRDefault="002B50B2" w:rsidP="002B50B2">
      <w:pPr>
        <w:jc w:val="center"/>
        <w:rPr>
          <w:rFonts w:ascii="Arial" w:hAnsi="Arial" w:cs="Arial"/>
          <w:b/>
          <w:bCs/>
          <w:i/>
          <w:color w:val="000000"/>
        </w:rPr>
      </w:pPr>
    </w:p>
    <w:p w:rsidR="002B50B2" w:rsidRPr="00562ED5" w:rsidRDefault="002B50B2" w:rsidP="002B50B2">
      <w:pPr>
        <w:jc w:val="center"/>
        <w:rPr>
          <w:rFonts w:ascii="Arial" w:hAnsi="Arial" w:cs="Arial"/>
          <w:b/>
          <w:bCs/>
          <w:i/>
          <w:color w:val="000000"/>
        </w:rPr>
      </w:pPr>
      <w:r w:rsidRPr="00562ED5">
        <w:rPr>
          <w:rFonts w:ascii="Arial" w:hAnsi="Arial" w:cs="Arial"/>
          <w:b/>
          <w:bCs/>
          <w:i/>
          <w:color w:val="000000"/>
        </w:rPr>
        <w:t>“invisible threads are the strongest ties” Friedrich Nietzsche</w:t>
      </w:r>
    </w:p>
    <w:p w:rsidR="002B50B2" w:rsidRDefault="002B50B2" w:rsidP="002B50B2">
      <w:pPr>
        <w:pStyle w:val="Default"/>
        <w:rPr>
          <w:sz w:val="23"/>
          <w:szCs w:val="23"/>
        </w:rPr>
      </w:pPr>
    </w:p>
    <w:p w:rsidR="002B50B2" w:rsidRDefault="002B50B2" w:rsidP="002B50B2">
      <w:pPr>
        <w:pStyle w:val="Default"/>
        <w:rPr>
          <w:sz w:val="23"/>
          <w:szCs w:val="23"/>
        </w:rPr>
      </w:pPr>
      <w:r>
        <w:rPr>
          <w:sz w:val="23"/>
          <w:szCs w:val="23"/>
        </w:rPr>
        <w:t>This guidance has been put together to support practitioners when carrying out an assessment of a parent/parents ability of caregiving to a child or young person in their family.</w:t>
      </w:r>
    </w:p>
    <w:p w:rsidR="002B50B2" w:rsidRDefault="002B50B2" w:rsidP="002B50B2">
      <w:pPr>
        <w:pStyle w:val="Default"/>
        <w:rPr>
          <w:sz w:val="23"/>
          <w:szCs w:val="23"/>
        </w:rPr>
      </w:pPr>
    </w:p>
    <w:p w:rsidR="002B50B2" w:rsidRDefault="002B50B2" w:rsidP="002B50B2">
      <w:pPr>
        <w:pStyle w:val="Default"/>
        <w:rPr>
          <w:sz w:val="23"/>
          <w:szCs w:val="23"/>
        </w:rPr>
      </w:pPr>
      <w:r>
        <w:rPr>
          <w:sz w:val="23"/>
          <w:szCs w:val="23"/>
        </w:rPr>
        <w:t xml:space="preserve">The Child and Family Assessment is the assessment tool for all assessment </w:t>
      </w:r>
    </w:p>
    <w:p w:rsidR="00F217AB" w:rsidRDefault="00F217AB" w:rsidP="002B50B2">
      <w:pPr>
        <w:pStyle w:val="Default"/>
        <w:rPr>
          <w:sz w:val="23"/>
          <w:szCs w:val="23"/>
        </w:rPr>
      </w:pPr>
    </w:p>
    <w:p w:rsidR="00F217AB" w:rsidRDefault="00F217AB" w:rsidP="002B50B2">
      <w:pPr>
        <w:pStyle w:val="Default"/>
        <w:rPr>
          <w:sz w:val="23"/>
          <w:szCs w:val="23"/>
        </w:rPr>
      </w:pPr>
    </w:p>
    <w:p w:rsidR="00F217AB" w:rsidRDefault="008432CA" w:rsidP="00F217AB">
      <w:pPr>
        <w:pStyle w:val="Default"/>
        <w:jc w:val="center"/>
        <w:rPr>
          <w:sz w:val="23"/>
          <w:szCs w:val="23"/>
        </w:rPr>
      </w:pPr>
      <w:r>
        <w:rPr>
          <w:noProof/>
          <w:color w:val="555555"/>
          <w:sz w:val="19"/>
          <w:szCs w:val="19"/>
          <w:lang w:eastAsia="en-GB"/>
        </w:rPr>
        <w:drawing>
          <wp:inline distT="0" distB="0" distL="0" distR="0" wp14:anchorId="35BF9CCD" wp14:editId="12EF267D">
            <wp:extent cx="4495800" cy="3779282"/>
            <wp:effectExtent l="0" t="0" r="0" b="0"/>
            <wp:docPr id="4" name="Picture 4" descr="Assess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ssment Framewo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4308" cy="3778028"/>
                    </a:xfrm>
                    <a:prstGeom prst="rect">
                      <a:avLst/>
                    </a:prstGeom>
                    <a:noFill/>
                    <a:ln>
                      <a:noFill/>
                    </a:ln>
                  </pic:spPr>
                </pic:pic>
              </a:graphicData>
            </a:graphic>
          </wp:inline>
        </w:drawing>
      </w:r>
    </w:p>
    <w:p w:rsidR="00F217AB" w:rsidRDefault="00F217AB" w:rsidP="002B50B2">
      <w:pPr>
        <w:pStyle w:val="Default"/>
        <w:rPr>
          <w:sz w:val="23"/>
          <w:szCs w:val="23"/>
        </w:rPr>
      </w:pPr>
    </w:p>
    <w:p w:rsidR="00F217AB" w:rsidRDefault="00F217AB" w:rsidP="002B50B2">
      <w:pPr>
        <w:pStyle w:val="Default"/>
        <w:rPr>
          <w:sz w:val="23"/>
          <w:szCs w:val="23"/>
        </w:rPr>
      </w:pPr>
    </w:p>
    <w:p w:rsidR="002B50B2" w:rsidRDefault="002B50B2" w:rsidP="002B50B2">
      <w:pPr>
        <w:pStyle w:val="Default"/>
        <w:rPr>
          <w:b/>
        </w:rPr>
      </w:pPr>
      <w:r w:rsidRPr="0022463C">
        <w:rPr>
          <w:b/>
        </w:rPr>
        <w:t>Guiding Principles:</w:t>
      </w:r>
    </w:p>
    <w:p w:rsidR="002B50B2" w:rsidRDefault="002B50B2" w:rsidP="002B50B2">
      <w:pPr>
        <w:pStyle w:val="Default"/>
        <w:rPr>
          <w:b/>
        </w:rPr>
      </w:pPr>
    </w:p>
    <w:p w:rsidR="00F217AB" w:rsidRDefault="002B50B2" w:rsidP="002B50B2">
      <w:pPr>
        <w:pStyle w:val="Default"/>
        <w:rPr>
          <w:b/>
          <w:bCs/>
          <w:color w:val="auto"/>
          <w:sz w:val="23"/>
          <w:szCs w:val="23"/>
        </w:rPr>
      </w:pPr>
      <w:r>
        <w:rPr>
          <w:b/>
          <w:bCs/>
          <w:color w:val="auto"/>
          <w:sz w:val="23"/>
          <w:szCs w:val="23"/>
        </w:rPr>
        <w:t>1.</w:t>
      </w:r>
      <w:r w:rsidR="00F217AB">
        <w:rPr>
          <w:b/>
          <w:bCs/>
          <w:color w:val="auto"/>
          <w:sz w:val="23"/>
          <w:szCs w:val="23"/>
        </w:rPr>
        <w:t xml:space="preserve"> </w:t>
      </w:r>
      <w:r>
        <w:rPr>
          <w:b/>
          <w:bCs/>
          <w:color w:val="auto"/>
          <w:sz w:val="23"/>
          <w:szCs w:val="23"/>
        </w:rPr>
        <w:t xml:space="preserve">Building effective relationships is at the centre of practice. </w:t>
      </w:r>
    </w:p>
    <w:p w:rsidR="00F217AB" w:rsidRDefault="00F217AB" w:rsidP="002B50B2">
      <w:pPr>
        <w:pStyle w:val="Default"/>
        <w:rPr>
          <w:b/>
          <w:bCs/>
          <w:color w:val="auto"/>
          <w:sz w:val="23"/>
          <w:szCs w:val="23"/>
        </w:rPr>
      </w:pPr>
    </w:p>
    <w:p w:rsidR="002B50B2" w:rsidRDefault="002B50B2" w:rsidP="002B50B2">
      <w:pPr>
        <w:pStyle w:val="Default"/>
        <w:rPr>
          <w:color w:val="auto"/>
          <w:sz w:val="23"/>
          <w:szCs w:val="23"/>
        </w:rPr>
      </w:pPr>
      <w:r>
        <w:rPr>
          <w:color w:val="auto"/>
          <w:sz w:val="23"/>
          <w:szCs w:val="23"/>
        </w:rPr>
        <w:t xml:space="preserve">Building a positive relationship with parent/carers pays dividends during the assessment process. Parents are a vital source of information about the family's circumstances. Their response to attempts to build a working relationship may also predict how co-operative they will be in enacting change in the long-term (Department for Education, 2010a). </w:t>
      </w:r>
    </w:p>
    <w:p w:rsidR="002B50B2" w:rsidRDefault="002B50B2" w:rsidP="002B50B2">
      <w:pPr>
        <w:pStyle w:val="Default"/>
        <w:spacing w:after="11"/>
        <w:rPr>
          <w:color w:val="auto"/>
          <w:sz w:val="23"/>
          <w:szCs w:val="23"/>
        </w:rPr>
      </w:pPr>
    </w:p>
    <w:p w:rsidR="002B50B2" w:rsidRDefault="002B50B2" w:rsidP="002B50B2">
      <w:pPr>
        <w:pStyle w:val="Default"/>
        <w:spacing w:after="11"/>
        <w:rPr>
          <w:color w:val="auto"/>
          <w:sz w:val="23"/>
          <w:szCs w:val="23"/>
        </w:rPr>
      </w:pPr>
      <w:r>
        <w:rPr>
          <w:color w:val="auto"/>
          <w:sz w:val="23"/>
          <w:szCs w:val="23"/>
        </w:rPr>
        <w:t xml:space="preserve">There are a number of barriers to building positive relationships with parents: </w:t>
      </w:r>
      <w:r>
        <w:rPr>
          <w:rFonts w:ascii="Cambria" w:hAnsi="Cambria" w:cs="Cambria"/>
          <w:b/>
          <w:bCs/>
          <w:color w:val="auto"/>
          <w:sz w:val="23"/>
          <w:szCs w:val="23"/>
        </w:rPr>
        <w:t xml:space="preserve"> </w:t>
      </w:r>
      <w:r>
        <w:rPr>
          <w:color w:val="auto"/>
          <w:sz w:val="20"/>
          <w:szCs w:val="20"/>
        </w:rPr>
        <w:t xml:space="preserve"> </w:t>
      </w:r>
      <w:r>
        <w:rPr>
          <w:color w:val="auto"/>
          <w:sz w:val="23"/>
          <w:szCs w:val="23"/>
        </w:rPr>
        <w:t xml:space="preserve">the challenge of working with vulnerable people who may have trouble trusting authority figures </w:t>
      </w:r>
    </w:p>
    <w:p w:rsidR="002B50B2" w:rsidRDefault="002B50B2" w:rsidP="002B50B2">
      <w:pPr>
        <w:pStyle w:val="Default"/>
        <w:numPr>
          <w:ilvl w:val="0"/>
          <w:numId w:val="12"/>
        </w:numPr>
        <w:spacing w:after="11"/>
        <w:rPr>
          <w:color w:val="auto"/>
          <w:sz w:val="23"/>
          <w:szCs w:val="23"/>
        </w:rPr>
      </w:pPr>
      <w:r>
        <w:rPr>
          <w:color w:val="auto"/>
          <w:sz w:val="23"/>
          <w:szCs w:val="23"/>
        </w:rPr>
        <w:t xml:space="preserve">parents/carers' fear of losing their children </w:t>
      </w:r>
    </w:p>
    <w:p w:rsidR="002B50B2" w:rsidRDefault="002B50B2" w:rsidP="002B50B2">
      <w:pPr>
        <w:pStyle w:val="Default"/>
        <w:numPr>
          <w:ilvl w:val="0"/>
          <w:numId w:val="12"/>
        </w:numPr>
        <w:rPr>
          <w:color w:val="auto"/>
          <w:sz w:val="23"/>
          <w:szCs w:val="23"/>
        </w:rPr>
      </w:pPr>
      <w:r>
        <w:rPr>
          <w:color w:val="auto"/>
          <w:sz w:val="23"/>
          <w:szCs w:val="23"/>
        </w:rPr>
        <w:lastRenderedPageBreak/>
        <w:t xml:space="preserve">practitioners' lack of confidence, fear of making mistakes, fear of violence, and work and time pressures (Department for Education, 2010a). </w:t>
      </w:r>
    </w:p>
    <w:p w:rsidR="002B50B2" w:rsidRDefault="002B50B2" w:rsidP="002B50B2">
      <w:pPr>
        <w:pStyle w:val="Default"/>
        <w:rPr>
          <w:color w:val="auto"/>
          <w:sz w:val="23"/>
          <w:szCs w:val="23"/>
        </w:rPr>
      </w:pPr>
    </w:p>
    <w:p w:rsidR="002B50B2" w:rsidRPr="00562ED5" w:rsidRDefault="002B50B2" w:rsidP="002B50B2">
      <w:pPr>
        <w:rPr>
          <w:rFonts w:ascii="Arial" w:hAnsi="Arial" w:cs="Arial"/>
          <w:sz w:val="23"/>
          <w:szCs w:val="23"/>
        </w:rPr>
      </w:pPr>
      <w:r w:rsidRPr="0022463C">
        <w:rPr>
          <w:rFonts w:ascii="Arial" w:hAnsi="Arial" w:cs="Arial"/>
          <w:sz w:val="23"/>
          <w:szCs w:val="23"/>
        </w:rPr>
        <w:t>Practitioners need to work effectively with parents whilst retaining a focus on the child's welfare. They must never become so immersed in parents' problems that they lose sight of children's needs. They need to be honest and clear with parents without creating hostility; and show empathy without colluding with unacceptable behaviour (Forrester et al, 2008).</w:t>
      </w:r>
    </w:p>
    <w:p w:rsidR="002B50B2" w:rsidRDefault="002B50B2" w:rsidP="002B50B2">
      <w:pPr>
        <w:pStyle w:val="Default"/>
      </w:pPr>
    </w:p>
    <w:p w:rsidR="002B50B2" w:rsidRDefault="002B50B2" w:rsidP="002B50B2">
      <w:pPr>
        <w:pStyle w:val="Default"/>
        <w:rPr>
          <w:color w:val="auto"/>
          <w:sz w:val="23"/>
          <w:szCs w:val="23"/>
        </w:rPr>
      </w:pPr>
      <w:r>
        <w:rPr>
          <w:b/>
          <w:bCs/>
          <w:color w:val="auto"/>
          <w:sz w:val="23"/>
          <w:szCs w:val="23"/>
        </w:rPr>
        <w:t xml:space="preserve">2. Spending time talking with parents/carers </w:t>
      </w:r>
      <w:r>
        <w:rPr>
          <w:color w:val="auto"/>
          <w:sz w:val="23"/>
          <w:szCs w:val="23"/>
        </w:rPr>
        <w:t xml:space="preserve">This should include: </w:t>
      </w:r>
    </w:p>
    <w:p w:rsidR="002B50B2" w:rsidRDefault="002B50B2" w:rsidP="002B50B2">
      <w:pPr>
        <w:pStyle w:val="Default"/>
        <w:spacing w:after="11"/>
        <w:rPr>
          <w:color w:val="auto"/>
          <w:sz w:val="23"/>
          <w:szCs w:val="23"/>
        </w:rPr>
      </w:pPr>
      <w:r>
        <w:rPr>
          <w:color w:val="auto"/>
          <w:sz w:val="20"/>
          <w:szCs w:val="20"/>
        </w:rPr>
        <w:t xml:space="preserve"> </w:t>
      </w:r>
      <w:r>
        <w:rPr>
          <w:color w:val="auto"/>
          <w:sz w:val="23"/>
          <w:szCs w:val="23"/>
        </w:rPr>
        <w:t xml:space="preserve">giving reasons for the assessment and explaining clearly the process and desired outcomes </w:t>
      </w:r>
    </w:p>
    <w:p w:rsidR="002B50B2" w:rsidRDefault="002B50B2" w:rsidP="002B50B2">
      <w:pPr>
        <w:pStyle w:val="Default"/>
        <w:spacing w:after="11"/>
        <w:rPr>
          <w:color w:val="auto"/>
          <w:sz w:val="23"/>
          <w:szCs w:val="23"/>
        </w:rPr>
      </w:pPr>
      <w:r>
        <w:rPr>
          <w:color w:val="auto"/>
          <w:sz w:val="20"/>
          <w:szCs w:val="20"/>
        </w:rPr>
        <w:t xml:space="preserve"> </w:t>
      </w:r>
      <w:r>
        <w:rPr>
          <w:color w:val="auto"/>
          <w:sz w:val="23"/>
          <w:szCs w:val="23"/>
        </w:rPr>
        <w:t xml:space="preserve">assessing each parent’s/carer’s physical, mental and emotional health, including evidence of issues such as substance misuse, learning difficulties or domestic violence </w:t>
      </w:r>
    </w:p>
    <w:p w:rsidR="002B50B2" w:rsidRDefault="002B50B2" w:rsidP="002B50B2">
      <w:pPr>
        <w:pStyle w:val="Default"/>
        <w:spacing w:after="11"/>
        <w:rPr>
          <w:color w:val="auto"/>
          <w:sz w:val="23"/>
          <w:szCs w:val="23"/>
        </w:rPr>
      </w:pPr>
      <w:r>
        <w:rPr>
          <w:color w:val="auto"/>
          <w:sz w:val="20"/>
          <w:szCs w:val="20"/>
        </w:rPr>
        <w:t xml:space="preserve"> </w:t>
      </w:r>
      <w:r>
        <w:rPr>
          <w:color w:val="auto"/>
          <w:sz w:val="23"/>
          <w:szCs w:val="23"/>
        </w:rPr>
        <w:t xml:space="preserve">asking them to share their feelings about each child over time </w:t>
      </w:r>
    </w:p>
    <w:p w:rsidR="002B50B2" w:rsidRDefault="002B50B2" w:rsidP="002B50B2">
      <w:pPr>
        <w:pStyle w:val="Default"/>
        <w:spacing w:after="11"/>
        <w:rPr>
          <w:color w:val="auto"/>
          <w:sz w:val="23"/>
          <w:szCs w:val="23"/>
        </w:rPr>
      </w:pPr>
      <w:r>
        <w:rPr>
          <w:color w:val="auto"/>
          <w:sz w:val="20"/>
          <w:szCs w:val="20"/>
        </w:rPr>
        <w:t xml:space="preserve"> </w:t>
      </w:r>
      <w:r>
        <w:rPr>
          <w:color w:val="auto"/>
          <w:sz w:val="23"/>
          <w:szCs w:val="23"/>
        </w:rPr>
        <w:t xml:space="preserve">building a picture of parent-child attachment over time and the child’s attachment and separation behaviour at key stages in their development such as starting school </w:t>
      </w:r>
    </w:p>
    <w:p w:rsidR="002B50B2" w:rsidRDefault="002B50B2" w:rsidP="002B50B2">
      <w:pPr>
        <w:pStyle w:val="Default"/>
        <w:spacing w:after="11"/>
        <w:rPr>
          <w:color w:val="auto"/>
          <w:sz w:val="23"/>
          <w:szCs w:val="23"/>
        </w:rPr>
      </w:pPr>
      <w:r>
        <w:rPr>
          <w:color w:val="auto"/>
          <w:sz w:val="20"/>
          <w:szCs w:val="20"/>
        </w:rPr>
        <w:t xml:space="preserve"> </w:t>
      </w:r>
      <w:r>
        <w:rPr>
          <w:color w:val="auto"/>
          <w:sz w:val="23"/>
          <w:szCs w:val="23"/>
        </w:rPr>
        <w:t xml:space="preserve">establishing the identities of all adults who care for the child </w:t>
      </w:r>
    </w:p>
    <w:p w:rsidR="002B50B2" w:rsidRDefault="002B50B2" w:rsidP="002B50B2">
      <w:pPr>
        <w:pStyle w:val="Default"/>
        <w:rPr>
          <w:color w:val="auto"/>
          <w:sz w:val="23"/>
          <w:szCs w:val="23"/>
        </w:rPr>
      </w:pPr>
      <w:r>
        <w:rPr>
          <w:color w:val="auto"/>
          <w:sz w:val="20"/>
          <w:szCs w:val="20"/>
        </w:rPr>
        <w:t xml:space="preserve"> </w:t>
      </w:r>
      <w:r>
        <w:rPr>
          <w:color w:val="auto"/>
          <w:sz w:val="23"/>
          <w:szCs w:val="23"/>
        </w:rPr>
        <w:t xml:space="preserve">considering parents’ views about concerns relating to their parenting (Jones, 2010; Kellett and Apps, 2009). </w:t>
      </w:r>
    </w:p>
    <w:p w:rsidR="002B50B2" w:rsidRDefault="002B50B2" w:rsidP="002B50B2">
      <w:pPr>
        <w:pStyle w:val="Default"/>
        <w:rPr>
          <w:color w:val="auto"/>
          <w:sz w:val="23"/>
          <w:szCs w:val="23"/>
        </w:rPr>
      </w:pPr>
    </w:p>
    <w:p w:rsidR="002B50B2" w:rsidRDefault="002B50B2" w:rsidP="002B50B2">
      <w:pPr>
        <w:pStyle w:val="Default"/>
        <w:rPr>
          <w:color w:val="auto"/>
          <w:sz w:val="23"/>
          <w:szCs w:val="23"/>
        </w:rPr>
      </w:pPr>
      <w:r>
        <w:rPr>
          <w:b/>
          <w:bCs/>
          <w:color w:val="auto"/>
          <w:sz w:val="23"/>
          <w:szCs w:val="23"/>
        </w:rPr>
        <w:t>3. Spending time talking with children (</w:t>
      </w:r>
      <w:r>
        <w:rPr>
          <w:color w:val="auto"/>
          <w:sz w:val="23"/>
          <w:szCs w:val="23"/>
        </w:rPr>
        <w:t xml:space="preserve">and this should include time on their own). The practitioner must not ask leading questions and should avoid distressing the child. Dependent on the age of the child, the interview will cover: </w:t>
      </w:r>
    </w:p>
    <w:p w:rsidR="002B50B2" w:rsidRDefault="002B50B2" w:rsidP="002B50B2">
      <w:pPr>
        <w:pStyle w:val="Default"/>
        <w:spacing w:after="66"/>
        <w:rPr>
          <w:color w:val="auto"/>
          <w:sz w:val="23"/>
          <w:szCs w:val="23"/>
        </w:rPr>
      </w:pPr>
      <w:r>
        <w:rPr>
          <w:color w:val="auto"/>
          <w:sz w:val="20"/>
          <w:szCs w:val="20"/>
        </w:rPr>
        <w:t xml:space="preserve"> </w:t>
      </w:r>
      <w:r>
        <w:rPr>
          <w:color w:val="auto"/>
          <w:sz w:val="23"/>
          <w:szCs w:val="23"/>
        </w:rPr>
        <w:t xml:space="preserve">their current concerns and what needs to happen to address them </w:t>
      </w:r>
    </w:p>
    <w:p w:rsidR="002B50B2" w:rsidRDefault="002B50B2" w:rsidP="002B50B2">
      <w:pPr>
        <w:pStyle w:val="Default"/>
        <w:spacing w:after="66"/>
        <w:rPr>
          <w:color w:val="auto"/>
          <w:sz w:val="23"/>
          <w:szCs w:val="23"/>
        </w:rPr>
      </w:pPr>
      <w:r>
        <w:rPr>
          <w:color w:val="auto"/>
          <w:sz w:val="20"/>
          <w:szCs w:val="20"/>
        </w:rPr>
        <w:t xml:space="preserve"> </w:t>
      </w:r>
      <w:r>
        <w:rPr>
          <w:color w:val="auto"/>
          <w:sz w:val="23"/>
          <w:szCs w:val="23"/>
        </w:rPr>
        <w:t xml:space="preserve">their views on family relationships </w:t>
      </w:r>
    </w:p>
    <w:p w:rsidR="002B50B2" w:rsidRDefault="002B50B2" w:rsidP="002B50B2">
      <w:pPr>
        <w:pStyle w:val="Default"/>
        <w:rPr>
          <w:color w:val="auto"/>
          <w:sz w:val="23"/>
          <w:szCs w:val="23"/>
        </w:rPr>
      </w:pPr>
      <w:r>
        <w:rPr>
          <w:color w:val="auto"/>
          <w:sz w:val="20"/>
          <w:szCs w:val="20"/>
        </w:rPr>
        <w:t xml:space="preserve"> </w:t>
      </w:r>
      <w:r>
        <w:rPr>
          <w:color w:val="auto"/>
          <w:sz w:val="23"/>
          <w:szCs w:val="23"/>
        </w:rPr>
        <w:t xml:space="preserve">their views on school and their social relationships. </w:t>
      </w:r>
    </w:p>
    <w:p w:rsidR="002B50B2" w:rsidRDefault="002B50B2" w:rsidP="002B50B2">
      <w:pPr>
        <w:pStyle w:val="Default"/>
        <w:rPr>
          <w:color w:val="auto"/>
          <w:sz w:val="23"/>
          <w:szCs w:val="23"/>
        </w:rPr>
      </w:pPr>
    </w:p>
    <w:p w:rsidR="002B50B2" w:rsidRDefault="002B50B2" w:rsidP="002B50B2">
      <w:pPr>
        <w:pStyle w:val="Default"/>
        <w:rPr>
          <w:color w:val="auto"/>
          <w:sz w:val="23"/>
          <w:szCs w:val="23"/>
        </w:rPr>
      </w:pPr>
      <w:r>
        <w:rPr>
          <w:color w:val="auto"/>
          <w:sz w:val="23"/>
          <w:szCs w:val="23"/>
        </w:rPr>
        <w:t xml:space="preserve">With younger children, this may involve a play-based session (Jones, 2010; HM Government, 2013). </w:t>
      </w:r>
    </w:p>
    <w:p w:rsidR="002B50B2" w:rsidRDefault="002B50B2" w:rsidP="002B50B2">
      <w:pPr>
        <w:pStyle w:val="Default"/>
        <w:rPr>
          <w:b/>
          <w:bCs/>
          <w:color w:val="auto"/>
          <w:sz w:val="23"/>
          <w:szCs w:val="23"/>
        </w:rPr>
      </w:pPr>
    </w:p>
    <w:p w:rsidR="002B50B2" w:rsidRDefault="002B50B2" w:rsidP="002B50B2">
      <w:pPr>
        <w:pStyle w:val="Default"/>
        <w:rPr>
          <w:color w:val="auto"/>
          <w:sz w:val="23"/>
          <w:szCs w:val="23"/>
        </w:rPr>
      </w:pPr>
      <w:r>
        <w:rPr>
          <w:b/>
          <w:bCs/>
          <w:color w:val="auto"/>
          <w:sz w:val="23"/>
          <w:szCs w:val="23"/>
        </w:rPr>
        <w:t xml:space="preserve">4. The importance of Observations : </w:t>
      </w:r>
      <w:r>
        <w:rPr>
          <w:color w:val="auto"/>
          <w:sz w:val="23"/>
          <w:szCs w:val="23"/>
        </w:rPr>
        <w:t xml:space="preserve"> observations of each individual carer and their verbal and non-verbal interaction with each child are key to any type parenting assessment. Observations need to cover the following: </w:t>
      </w:r>
    </w:p>
    <w:p w:rsidR="002B50B2" w:rsidRDefault="002B50B2" w:rsidP="002B50B2">
      <w:pPr>
        <w:pStyle w:val="Default"/>
        <w:spacing w:after="64"/>
        <w:rPr>
          <w:color w:val="auto"/>
          <w:sz w:val="23"/>
          <w:szCs w:val="23"/>
        </w:rPr>
      </w:pPr>
      <w:r>
        <w:rPr>
          <w:color w:val="auto"/>
          <w:sz w:val="20"/>
          <w:szCs w:val="20"/>
        </w:rPr>
        <w:t xml:space="preserve"> </w:t>
      </w:r>
      <w:r>
        <w:rPr>
          <w:color w:val="auto"/>
          <w:sz w:val="23"/>
          <w:szCs w:val="23"/>
        </w:rPr>
        <w:t xml:space="preserve">how the parent or carer talks to the child </w:t>
      </w:r>
    </w:p>
    <w:p w:rsidR="002B50B2" w:rsidRDefault="002B50B2" w:rsidP="002B50B2">
      <w:pPr>
        <w:pStyle w:val="Default"/>
        <w:spacing w:after="64"/>
        <w:rPr>
          <w:color w:val="auto"/>
          <w:sz w:val="23"/>
          <w:szCs w:val="23"/>
        </w:rPr>
      </w:pPr>
      <w:r>
        <w:rPr>
          <w:color w:val="auto"/>
          <w:sz w:val="20"/>
          <w:szCs w:val="20"/>
        </w:rPr>
        <w:t xml:space="preserve"> </w:t>
      </w:r>
      <w:r>
        <w:rPr>
          <w:color w:val="auto"/>
          <w:sz w:val="23"/>
          <w:szCs w:val="23"/>
        </w:rPr>
        <w:t xml:space="preserve">how/whether they show affection and warmth </w:t>
      </w:r>
    </w:p>
    <w:p w:rsidR="002B50B2" w:rsidRDefault="002B50B2" w:rsidP="002B50B2">
      <w:pPr>
        <w:pStyle w:val="Default"/>
        <w:rPr>
          <w:color w:val="auto"/>
          <w:sz w:val="23"/>
          <w:szCs w:val="23"/>
        </w:rPr>
      </w:pPr>
      <w:r>
        <w:rPr>
          <w:color w:val="auto"/>
          <w:sz w:val="20"/>
          <w:szCs w:val="20"/>
        </w:rPr>
        <w:t xml:space="preserve"> </w:t>
      </w:r>
      <w:r>
        <w:rPr>
          <w:color w:val="auto"/>
          <w:sz w:val="23"/>
          <w:szCs w:val="23"/>
        </w:rPr>
        <w:t xml:space="preserve">how they set boundaries and offer guidance. </w:t>
      </w:r>
    </w:p>
    <w:p w:rsidR="002B50B2" w:rsidRPr="0022463C" w:rsidRDefault="002B50B2" w:rsidP="002B50B2">
      <w:pPr>
        <w:pStyle w:val="Default"/>
        <w:rPr>
          <w:b/>
          <w:color w:val="auto"/>
          <w:sz w:val="23"/>
          <w:szCs w:val="23"/>
        </w:rPr>
      </w:pPr>
    </w:p>
    <w:p w:rsidR="002B50B2" w:rsidRPr="0022463C" w:rsidRDefault="002B50B2" w:rsidP="002B50B2">
      <w:pPr>
        <w:pStyle w:val="Default"/>
        <w:rPr>
          <w:b/>
        </w:rPr>
      </w:pPr>
    </w:p>
    <w:p w:rsidR="002B50B2" w:rsidRPr="00562ED5" w:rsidRDefault="002B50B2" w:rsidP="002B50B2">
      <w:pPr>
        <w:pStyle w:val="Default"/>
        <w:rPr>
          <w:color w:val="auto"/>
        </w:rPr>
      </w:pPr>
      <w:r w:rsidRPr="00562ED5">
        <w:rPr>
          <w:b/>
          <w:color w:val="auto"/>
        </w:rPr>
        <w:t>What is a parenting assessment</w:t>
      </w:r>
      <w:r w:rsidRPr="00562ED5">
        <w:rPr>
          <w:color w:val="auto"/>
        </w:rPr>
        <w:t>:</w:t>
      </w:r>
      <w:r>
        <w:rPr>
          <w:color w:val="auto"/>
        </w:rPr>
        <w:t xml:space="preserve"> </w:t>
      </w:r>
      <w:r w:rsidRPr="00562ED5">
        <w:rPr>
          <w:b/>
          <w:color w:val="auto"/>
        </w:rPr>
        <w:t>Parental capacity &amp; the child’s timescale</w:t>
      </w:r>
    </w:p>
    <w:p w:rsidR="002B50B2" w:rsidRDefault="002B50B2" w:rsidP="002B50B2">
      <w:pPr>
        <w:pStyle w:val="Default"/>
      </w:pPr>
    </w:p>
    <w:p w:rsidR="002B50B2" w:rsidRDefault="002B50B2" w:rsidP="002B50B2">
      <w:pPr>
        <w:pStyle w:val="Default"/>
        <w:numPr>
          <w:ilvl w:val="0"/>
          <w:numId w:val="11"/>
        </w:numPr>
        <w:rPr>
          <w:color w:val="auto"/>
          <w:sz w:val="23"/>
          <w:szCs w:val="23"/>
        </w:rPr>
      </w:pPr>
      <w:r>
        <w:rPr>
          <w:color w:val="auto"/>
          <w:sz w:val="23"/>
          <w:szCs w:val="23"/>
        </w:rPr>
        <w:t xml:space="preserve">Assessment is a continuous and dynamic process. Decisions made must be reviewed in the light of new and emerging information. In some cases, parents will be unable to make sufficient and timely change to ensure they meet their children’s needs and can protect them from harm. </w:t>
      </w:r>
    </w:p>
    <w:p w:rsidR="002B50B2" w:rsidRDefault="002B50B2" w:rsidP="002B50B2">
      <w:pPr>
        <w:pStyle w:val="Default"/>
        <w:ind w:left="720"/>
        <w:rPr>
          <w:color w:val="auto"/>
          <w:sz w:val="23"/>
          <w:szCs w:val="23"/>
        </w:rPr>
      </w:pPr>
    </w:p>
    <w:p w:rsidR="002B50B2" w:rsidRDefault="002B50B2" w:rsidP="002B50B2">
      <w:pPr>
        <w:pStyle w:val="Default"/>
        <w:numPr>
          <w:ilvl w:val="0"/>
          <w:numId w:val="11"/>
        </w:numPr>
        <w:rPr>
          <w:color w:val="auto"/>
          <w:sz w:val="23"/>
          <w:szCs w:val="23"/>
        </w:rPr>
      </w:pPr>
      <w:r>
        <w:rPr>
          <w:color w:val="auto"/>
          <w:sz w:val="23"/>
          <w:szCs w:val="23"/>
        </w:rPr>
        <w:t xml:space="preserve">When parents are unable to provide their child with ‘good enough’ parenting, professionals must decide what child protection measures should be taken to protect the child from significant harm. </w:t>
      </w:r>
    </w:p>
    <w:p w:rsidR="002B50B2" w:rsidRDefault="002B50B2" w:rsidP="002B50B2">
      <w:pPr>
        <w:pStyle w:val="Default"/>
        <w:rPr>
          <w:color w:val="auto"/>
          <w:sz w:val="23"/>
          <w:szCs w:val="23"/>
        </w:rPr>
      </w:pPr>
    </w:p>
    <w:p w:rsidR="002B50B2" w:rsidRDefault="002B50B2" w:rsidP="002B50B2">
      <w:pPr>
        <w:pStyle w:val="Default"/>
        <w:numPr>
          <w:ilvl w:val="0"/>
          <w:numId w:val="11"/>
        </w:numPr>
        <w:rPr>
          <w:color w:val="auto"/>
          <w:sz w:val="23"/>
          <w:szCs w:val="23"/>
        </w:rPr>
      </w:pPr>
      <w:r>
        <w:rPr>
          <w:color w:val="auto"/>
          <w:sz w:val="23"/>
          <w:szCs w:val="23"/>
        </w:rPr>
        <w:t xml:space="preserve">This may involve making a child subject to a child protection plan or instigating care proceedings and drawing up a care plan. Such plans offer access to support services and outline the differences these services are expected to make to parenting capacity </w:t>
      </w:r>
      <w:r>
        <w:rPr>
          <w:color w:val="auto"/>
          <w:sz w:val="23"/>
          <w:szCs w:val="23"/>
        </w:rPr>
        <w:lastRenderedPageBreak/>
        <w:t xml:space="preserve">(Jones, 2010). Changes happening as a result of interventions need to be measured and modifications to the plans made on an on-going basis. </w:t>
      </w:r>
    </w:p>
    <w:p w:rsidR="002B50B2" w:rsidRPr="0022463C" w:rsidRDefault="002B50B2" w:rsidP="002B50B2">
      <w:pPr>
        <w:pStyle w:val="Default"/>
        <w:rPr>
          <w:color w:val="auto"/>
          <w:sz w:val="23"/>
          <w:szCs w:val="23"/>
        </w:rPr>
      </w:pPr>
    </w:p>
    <w:p w:rsidR="002B50B2" w:rsidRPr="0022463C" w:rsidRDefault="002B50B2" w:rsidP="002B50B2">
      <w:pPr>
        <w:pStyle w:val="ListParagraph"/>
        <w:numPr>
          <w:ilvl w:val="0"/>
          <w:numId w:val="11"/>
        </w:numPr>
        <w:spacing w:before="0" w:after="200" w:line="276" w:lineRule="auto"/>
        <w:rPr>
          <w:rFonts w:ascii="Arial" w:hAnsi="Arial" w:cs="Arial"/>
        </w:rPr>
      </w:pPr>
      <w:r w:rsidRPr="0022463C">
        <w:rPr>
          <w:rFonts w:ascii="Arial" w:hAnsi="Arial" w:cs="Arial"/>
          <w:sz w:val="23"/>
          <w:szCs w:val="23"/>
        </w:rPr>
        <w:t>In some cases, parents will be unable to make sufficient and timely change to ensure their children do not continue to suffer significant harm and it may be necessary to consider separating the child from his/her caregivers permanently (HM Government, 2013).</w:t>
      </w:r>
    </w:p>
    <w:p w:rsidR="002B50B2" w:rsidRDefault="002B50B2" w:rsidP="002B50B2">
      <w:pPr>
        <w:pStyle w:val="ListParagraph"/>
        <w:rPr>
          <w:rFonts w:ascii="Arial" w:hAnsi="Arial" w:cs="Arial"/>
          <w:b/>
        </w:rPr>
      </w:pPr>
    </w:p>
    <w:p w:rsidR="002B50B2" w:rsidRPr="0022463C" w:rsidRDefault="002B50B2" w:rsidP="002B50B2">
      <w:pPr>
        <w:rPr>
          <w:rFonts w:ascii="Arial" w:hAnsi="Arial" w:cs="Arial"/>
          <w:b/>
        </w:rPr>
      </w:pPr>
      <w:r>
        <w:rPr>
          <w:rFonts w:ascii="Arial" w:hAnsi="Arial" w:cs="Arial"/>
          <w:b/>
        </w:rPr>
        <w:t xml:space="preserve">What are the different </w:t>
      </w:r>
      <w:r w:rsidRPr="0022463C">
        <w:rPr>
          <w:rFonts w:ascii="Arial" w:hAnsi="Arial" w:cs="Arial"/>
          <w:b/>
        </w:rPr>
        <w:t>Types of Parenting Assessment</w:t>
      </w:r>
      <w:r>
        <w:rPr>
          <w:rFonts w:ascii="Arial" w:hAnsi="Arial" w:cs="Arial"/>
          <w:b/>
        </w:rPr>
        <w:t xml:space="preserve"> ?</w:t>
      </w:r>
    </w:p>
    <w:p w:rsidR="002B50B2" w:rsidRDefault="00296208" w:rsidP="002B50B2">
      <w:pPr>
        <w:pStyle w:val="Default"/>
        <w:numPr>
          <w:ilvl w:val="0"/>
          <w:numId w:val="13"/>
        </w:numPr>
      </w:pPr>
      <w:r>
        <w:t>Parenting capacity</w:t>
      </w:r>
      <w:r w:rsidR="002B50B2">
        <w:t xml:space="preserve"> undertaken as part of single assessment (CIN / CP Process) – </w:t>
      </w:r>
      <w:r w:rsidR="002B50B2" w:rsidRPr="007A65CA">
        <w:rPr>
          <w:color w:val="FF0000"/>
        </w:rPr>
        <w:t>more detail</w:t>
      </w:r>
    </w:p>
    <w:p w:rsidR="002B50B2" w:rsidRDefault="002B50B2" w:rsidP="002B50B2">
      <w:pPr>
        <w:pStyle w:val="Default"/>
        <w:ind w:left="720"/>
      </w:pPr>
    </w:p>
    <w:p w:rsidR="00A17821" w:rsidRDefault="002B50B2" w:rsidP="00A17821">
      <w:pPr>
        <w:pStyle w:val="Default"/>
        <w:numPr>
          <w:ilvl w:val="0"/>
          <w:numId w:val="13"/>
        </w:numPr>
      </w:pPr>
      <w:r>
        <w:t>Parenting Assessments</w:t>
      </w:r>
      <w:r w:rsidR="00296208">
        <w:t xml:space="preserve"> (Capacity to Change) </w:t>
      </w:r>
      <w:bookmarkStart w:id="0" w:name="_GoBack"/>
      <w:bookmarkEnd w:id="0"/>
      <w:r>
        <w:t xml:space="preserve"> as part of the PLO process and directed by court </w:t>
      </w:r>
      <w:r w:rsidRPr="00A17821">
        <w:rPr>
          <w:color w:val="FF0000"/>
        </w:rPr>
        <w:t>more detail</w:t>
      </w:r>
      <w:r>
        <w:t xml:space="preserve"> </w:t>
      </w:r>
    </w:p>
    <w:p w:rsidR="00A17821" w:rsidRDefault="00A17821" w:rsidP="00A17821">
      <w:pPr>
        <w:pStyle w:val="ListParagraph"/>
      </w:pPr>
    </w:p>
    <w:p w:rsidR="002B50B2" w:rsidRDefault="00296208" w:rsidP="00A17821">
      <w:pPr>
        <w:pStyle w:val="Default"/>
      </w:pPr>
      <w:hyperlink r:id="rId9" w:history="1">
        <w:r w:rsidR="00A17821" w:rsidRPr="00BD2879">
          <w:rPr>
            <w:rStyle w:val="Hyperlink"/>
            <w:rFonts w:ascii="Arial" w:hAnsi="Arial" w:cs="Arial"/>
          </w:rPr>
          <w:t>http://gloucestershirechildcare.proceduresonline.com/p_assessment.html?zoom_highlight=parenting+assessments</w:t>
        </w:r>
      </w:hyperlink>
    </w:p>
    <w:p w:rsidR="00A17821" w:rsidRDefault="00A17821" w:rsidP="00A17821">
      <w:pPr>
        <w:pStyle w:val="ListParagraph"/>
      </w:pPr>
    </w:p>
    <w:p w:rsidR="00A17821" w:rsidRDefault="00A17821" w:rsidP="00A17821">
      <w:pPr>
        <w:pStyle w:val="Default"/>
        <w:ind w:left="720"/>
      </w:pPr>
    </w:p>
    <w:p w:rsidR="002B50B2" w:rsidRDefault="002B50B2" w:rsidP="002B50B2">
      <w:pPr>
        <w:pStyle w:val="Default"/>
        <w:rPr>
          <w:b/>
          <w:color w:val="auto"/>
          <w:sz w:val="23"/>
          <w:szCs w:val="23"/>
        </w:rPr>
      </w:pPr>
      <w:r>
        <w:rPr>
          <w:b/>
          <w:color w:val="auto"/>
          <w:sz w:val="23"/>
          <w:szCs w:val="23"/>
        </w:rPr>
        <w:t>Who u</w:t>
      </w:r>
      <w:r w:rsidRPr="0022463C">
        <w:rPr>
          <w:b/>
          <w:color w:val="auto"/>
          <w:sz w:val="23"/>
          <w:szCs w:val="23"/>
        </w:rPr>
        <w:t>ndertakes Parenting Assessments</w:t>
      </w:r>
      <w:r>
        <w:rPr>
          <w:b/>
          <w:color w:val="auto"/>
          <w:sz w:val="23"/>
          <w:szCs w:val="23"/>
        </w:rPr>
        <w:t>?</w:t>
      </w:r>
    </w:p>
    <w:p w:rsidR="002B50B2" w:rsidRDefault="002B50B2" w:rsidP="002B50B2">
      <w:pPr>
        <w:pStyle w:val="Default"/>
        <w:rPr>
          <w:b/>
          <w:color w:val="auto"/>
          <w:sz w:val="23"/>
          <w:szCs w:val="23"/>
        </w:rPr>
      </w:pPr>
    </w:p>
    <w:p w:rsidR="002B50B2" w:rsidRDefault="002B50B2" w:rsidP="002B50B2">
      <w:pPr>
        <w:pStyle w:val="Default"/>
        <w:numPr>
          <w:ilvl w:val="0"/>
          <w:numId w:val="14"/>
        </w:numPr>
        <w:rPr>
          <w:color w:val="auto"/>
          <w:sz w:val="23"/>
          <w:szCs w:val="23"/>
        </w:rPr>
      </w:pPr>
      <w:r w:rsidRPr="007A65CA">
        <w:rPr>
          <w:color w:val="auto"/>
          <w:sz w:val="23"/>
          <w:szCs w:val="23"/>
        </w:rPr>
        <w:t>All parenting assessments</w:t>
      </w:r>
      <w:r>
        <w:rPr>
          <w:color w:val="auto"/>
          <w:sz w:val="23"/>
          <w:szCs w:val="23"/>
        </w:rPr>
        <w:t xml:space="preserve"> must be undertaken by the allocated social worker and over seen by their manager( the social worker should have sufficient experience and training in parenting assessments)</w:t>
      </w:r>
    </w:p>
    <w:p w:rsidR="002B50B2" w:rsidRDefault="002B50B2" w:rsidP="002B50B2">
      <w:pPr>
        <w:pStyle w:val="Default"/>
        <w:ind w:left="720"/>
        <w:rPr>
          <w:color w:val="auto"/>
          <w:sz w:val="23"/>
          <w:szCs w:val="23"/>
        </w:rPr>
      </w:pPr>
    </w:p>
    <w:p w:rsidR="002B50B2" w:rsidRPr="007A65CA" w:rsidRDefault="002B50B2" w:rsidP="002B50B2">
      <w:pPr>
        <w:pStyle w:val="Default"/>
        <w:numPr>
          <w:ilvl w:val="0"/>
          <w:numId w:val="14"/>
        </w:numPr>
        <w:rPr>
          <w:color w:val="auto"/>
          <w:sz w:val="23"/>
          <w:szCs w:val="23"/>
        </w:rPr>
      </w:pPr>
      <w:r>
        <w:rPr>
          <w:color w:val="auto"/>
          <w:sz w:val="23"/>
          <w:szCs w:val="23"/>
        </w:rPr>
        <w:t>Additional workers may be included if the assessments requires it, for example an additional Family Support Worker from the social work team or Contact Team</w:t>
      </w:r>
    </w:p>
    <w:p w:rsidR="002B50B2" w:rsidRPr="0022463C" w:rsidRDefault="002B50B2" w:rsidP="002B50B2">
      <w:pPr>
        <w:pStyle w:val="Default"/>
        <w:rPr>
          <w:b/>
          <w:color w:val="auto"/>
          <w:sz w:val="23"/>
          <w:szCs w:val="23"/>
        </w:rPr>
      </w:pPr>
    </w:p>
    <w:p w:rsidR="002B50B2" w:rsidRDefault="002B50B2" w:rsidP="002B50B2">
      <w:pPr>
        <w:pStyle w:val="Default"/>
        <w:rPr>
          <w:b/>
          <w:color w:val="auto"/>
          <w:sz w:val="23"/>
          <w:szCs w:val="23"/>
        </w:rPr>
      </w:pPr>
    </w:p>
    <w:p w:rsidR="002B50B2" w:rsidRPr="0022463C" w:rsidRDefault="002B50B2" w:rsidP="002B50B2">
      <w:pPr>
        <w:pStyle w:val="Default"/>
        <w:rPr>
          <w:b/>
          <w:color w:val="auto"/>
          <w:sz w:val="23"/>
          <w:szCs w:val="23"/>
        </w:rPr>
      </w:pPr>
      <w:r>
        <w:rPr>
          <w:b/>
          <w:color w:val="auto"/>
          <w:sz w:val="23"/>
          <w:szCs w:val="23"/>
        </w:rPr>
        <w:t>What training do I need as a social worker and what does the framework look like in Gloucestershire?</w:t>
      </w:r>
    </w:p>
    <w:p w:rsidR="002B50B2" w:rsidRDefault="002B50B2" w:rsidP="002B50B2">
      <w:pPr>
        <w:pStyle w:val="Default"/>
        <w:rPr>
          <w:color w:val="auto"/>
          <w:sz w:val="23"/>
          <w:szCs w:val="23"/>
        </w:rPr>
      </w:pPr>
    </w:p>
    <w:p w:rsidR="00A17821" w:rsidRDefault="00A17821" w:rsidP="00A17821">
      <w:pPr>
        <w:autoSpaceDE w:val="0"/>
        <w:autoSpaceDN w:val="0"/>
        <w:adjustRightInd w:val="0"/>
        <w:rPr>
          <w:rFonts w:ascii="Arial" w:hAnsi="Arial" w:cs="Arial"/>
          <w:b/>
          <w:bCs/>
        </w:rPr>
      </w:pPr>
      <w:r w:rsidRPr="00375DF3">
        <w:rPr>
          <w:rFonts w:ascii="Arial" w:hAnsi="Arial" w:cs="Arial"/>
          <w:b/>
          <w:bCs/>
        </w:rPr>
        <w:t>Ten pit</w:t>
      </w:r>
      <w:r w:rsidR="009F1093">
        <w:rPr>
          <w:rFonts w:ascii="Arial" w:hAnsi="Arial" w:cs="Arial"/>
          <w:b/>
          <w:bCs/>
        </w:rPr>
        <w:t xml:space="preserve">falls in assessment and how to </w:t>
      </w:r>
      <w:r w:rsidRPr="00375DF3">
        <w:rPr>
          <w:rFonts w:ascii="Arial" w:hAnsi="Arial" w:cs="Arial"/>
          <w:b/>
          <w:bCs/>
        </w:rPr>
        <w:t>avoid them</w:t>
      </w:r>
      <w:r>
        <w:rPr>
          <w:rFonts w:ascii="Arial" w:hAnsi="Arial" w:cs="Arial"/>
          <w:b/>
          <w:bCs/>
        </w:rPr>
        <w:t xml:space="preserve"> </w:t>
      </w:r>
    </w:p>
    <w:p w:rsidR="009F1093" w:rsidRPr="00375DF3" w:rsidRDefault="009F1093" w:rsidP="00A17821">
      <w:pPr>
        <w:autoSpaceDE w:val="0"/>
        <w:autoSpaceDN w:val="0"/>
        <w:adjustRightInd w:val="0"/>
        <w:rPr>
          <w:rFonts w:ascii="Arial" w:hAnsi="Arial" w:cs="Arial"/>
          <w:b/>
          <w:bCs/>
        </w:rPr>
      </w:pPr>
    </w:p>
    <w:tbl>
      <w:tblPr>
        <w:tblStyle w:val="TableGrid"/>
        <w:tblW w:w="9322" w:type="dxa"/>
        <w:tblLook w:val="04A0" w:firstRow="1" w:lastRow="0" w:firstColumn="1" w:lastColumn="0" w:noHBand="0" w:noVBand="1"/>
      </w:tblPr>
      <w:tblGrid>
        <w:gridCol w:w="4661"/>
        <w:gridCol w:w="4661"/>
      </w:tblGrid>
      <w:tr w:rsidR="009F1093" w:rsidRPr="009F1093" w:rsidTr="00D22D6F">
        <w:tc>
          <w:tcPr>
            <w:tcW w:w="4661" w:type="dxa"/>
          </w:tcPr>
          <w:p w:rsidR="009F1093" w:rsidRPr="009F1093" w:rsidRDefault="009F1093" w:rsidP="00D22D6F">
            <w:pPr>
              <w:rPr>
                <w:rFonts w:ascii="Arial" w:hAnsi="Arial" w:cs="Arial"/>
                <w:sz w:val="20"/>
                <w:szCs w:val="18"/>
              </w:rPr>
            </w:pPr>
            <w:r w:rsidRPr="009F1093">
              <w:rPr>
                <w:rFonts w:ascii="Arial" w:hAnsi="Arial" w:cs="Arial"/>
                <w:b/>
                <w:color w:val="000000"/>
                <w:sz w:val="20"/>
                <w:szCs w:val="18"/>
              </w:rPr>
              <w:t>Pitfalls</w:t>
            </w:r>
          </w:p>
        </w:tc>
        <w:tc>
          <w:tcPr>
            <w:tcW w:w="4661" w:type="dxa"/>
          </w:tcPr>
          <w:p w:rsidR="009F1093" w:rsidRPr="009F1093" w:rsidRDefault="009F1093" w:rsidP="00D22D6F">
            <w:pPr>
              <w:rPr>
                <w:rFonts w:ascii="Arial" w:hAnsi="Arial" w:cs="Arial"/>
                <w:sz w:val="20"/>
                <w:szCs w:val="18"/>
              </w:rPr>
            </w:pPr>
            <w:r w:rsidRPr="009F1093">
              <w:rPr>
                <w:rFonts w:ascii="Arial" w:hAnsi="Arial" w:cs="Arial"/>
                <w:b/>
                <w:bCs/>
                <w:color w:val="000000"/>
                <w:sz w:val="20"/>
                <w:szCs w:val="18"/>
              </w:rPr>
              <w:t>Strategies to avoid the pitfalls</w:t>
            </w:r>
          </w:p>
        </w:tc>
      </w:tr>
      <w:tr w:rsidR="009F1093" w:rsidRPr="009F1093" w:rsidTr="00D22D6F">
        <w:tc>
          <w:tcPr>
            <w:tcW w:w="4661" w:type="dxa"/>
          </w:tcPr>
          <w:p w:rsidR="009F1093" w:rsidRPr="009F1093" w:rsidRDefault="009F1093" w:rsidP="00D22D6F">
            <w:pPr>
              <w:rPr>
                <w:rFonts w:ascii="Arial" w:hAnsi="Arial" w:cs="Arial"/>
                <w:sz w:val="18"/>
                <w:szCs w:val="18"/>
              </w:rPr>
            </w:pPr>
            <w:r w:rsidRPr="009F1093">
              <w:rPr>
                <w:rFonts w:ascii="Arial" w:hAnsi="Arial" w:cs="Arial"/>
                <w:color w:val="000000"/>
                <w:sz w:val="18"/>
                <w:szCs w:val="18"/>
              </w:rPr>
              <w:t>1. An initial hypothesis is formulated on the basis of incomplete information, and is assessed and accepted too quickly. Practitioners become committed to this hypothesis and do not seek out information that may disconfirm or refute it</w:t>
            </w:r>
          </w:p>
        </w:tc>
        <w:tc>
          <w:tcPr>
            <w:tcW w:w="4661" w:type="dxa"/>
          </w:tcPr>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Active, conscious hypothesising, testing to confirm/disconfirm </w:t>
            </w:r>
          </w:p>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Record uncertainties </w:t>
            </w:r>
          </w:p>
          <w:p w:rsidR="009F1093" w:rsidRPr="009F1093" w:rsidRDefault="009F1093" w:rsidP="00D22D6F">
            <w:pPr>
              <w:rPr>
                <w:rFonts w:ascii="Arial" w:hAnsi="Arial" w:cs="Arial"/>
                <w:sz w:val="18"/>
                <w:szCs w:val="18"/>
              </w:rPr>
            </w:pPr>
            <w:r w:rsidRPr="009F1093">
              <w:rPr>
                <w:rFonts w:ascii="Arial" w:hAnsi="Arial" w:cs="Arial"/>
                <w:color w:val="000000"/>
                <w:sz w:val="18"/>
                <w:szCs w:val="18"/>
              </w:rPr>
              <w:t>Critical reflection</w:t>
            </w:r>
          </w:p>
        </w:tc>
      </w:tr>
      <w:tr w:rsidR="009F1093" w:rsidRPr="009F1093" w:rsidTr="00D22D6F">
        <w:tc>
          <w:tcPr>
            <w:tcW w:w="4661" w:type="dxa"/>
          </w:tcPr>
          <w:p w:rsidR="009F1093" w:rsidRPr="009F1093" w:rsidRDefault="009F1093" w:rsidP="00D22D6F">
            <w:pPr>
              <w:rPr>
                <w:rFonts w:ascii="Arial" w:hAnsi="Arial" w:cs="Arial"/>
                <w:sz w:val="18"/>
                <w:szCs w:val="18"/>
              </w:rPr>
            </w:pPr>
            <w:r w:rsidRPr="009F1093">
              <w:rPr>
                <w:rFonts w:ascii="Arial" w:hAnsi="Arial" w:cs="Arial"/>
                <w:color w:val="000000"/>
                <w:sz w:val="18"/>
                <w:szCs w:val="18"/>
              </w:rPr>
              <w:t>2.. Information taken at the first enquiry is not adequately recorded, facts are not checked and there is a failure to feedback the outcome to the referrer</w:t>
            </w:r>
          </w:p>
        </w:tc>
        <w:tc>
          <w:tcPr>
            <w:tcW w:w="4661" w:type="dxa"/>
          </w:tcPr>
          <w:p w:rsidR="009F1093" w:rsidRPr="009F1093" w:rsidRDefault="009F1093" w:rsidP="00D22D6F">
            <w:pPr>
              <w:rPr>
                <w:rFonts w:ascii="Arial" w:hAnsi="Arial" w:cs="Arial"/>
                <w:color w:val="000000"/>
                <w:sz w:val="18"/>
                <w:szCs w:val="18"/>
              </w:rPr>
            </w:pPr>
            <w:r w:rsidRPr="009F1093">
              <w:rPr>
                <w:rFonts w:ascii="Arial" w:hAnsi="Arial" w:cs="Arial"/>
                <w:color w:val="000000"/>
                <w:sz w:val="18"/>
                <w:szCs w:val="18"/>
              </w:rPr>
              <w:t>Evaluate the quality &amp; source of information</w:t>
            </w:r>
          </w:p>
          <w:p w:rsidR="009F1093" w:rsidRPr="009F1093" w:rsidRDefault="009F1093" w:rsidP="00D22D6F">
            <w:pPr>
              <w:rPr>
                <w:rFonts w:ascii="Arial" w:hAnsi="Arial" w:cs="Arial"/>
                <w:sz w:val="18"/>
                <w:szCs w:val="18"/>
              </w:rPr>
            </w:pPr>
            <w:r w:rsidRPr="009F1093">
              <w:rPr>
                <w:rFonts w:ascii="Arial" w:hAnsi="Arial" w:cs="Arial"/>
                <w:color w:val="000000"/>
                <w:sz w:val="18"/>
                <w:szCs w:val="18"/>
              </w:rPr>
              <w:t>Go back to the referrer and check the details, distinguish between observation &amp; opinion, ensure that the information has been accurately understood, ensure referrers receive feedback</w:t>
            </w:r>
          </w:p>
        </w:tc>
      </w:tr>
      <w:tr w:rsidR="009F1093" w:rsidRPr="009F1093" w:rsidTr="00D22D6F">
        <w:tc>
          <w:tcPr>
            <w:tcW w:w="4661" w:type="dxa"/>
          </w:tcPr>
          <w:p w:rsidR="009F1093" w:rsidRPr="009F1093" w:rsidRDefault="009F1093" w:rsidP="00D22D6F">
            <w:pPr>
              <w:rPr>
                <w:rFonts w:ascii="Arial" w:hAnsi="Arial" w:cs="Arial"/>
                <w:sz w:val="18"/>
                <w:szCs w:val="18"/>
              </w:rPr>
            </w:pPr>
            <w:r w:rsidRPr="009F1093">
              <w:rPr>
                <w:rFonts w:ascii="Arial" w:hAnsi="Arial" w:cs="Arial"/>
                <w:color w:val="000000"/>
                <w:sz w:val="18"/>
                <w:szCs w:val="18"/>
              </w:rPr>
              <w:t>3. Attention is focused on the most visible or pressing problems; case history and less “obvious” details are insufficiently explored</w:t>
            </w:r>
          </w:p>
        </w:tc>
        <w:tc>
          <w:tcPr>
            <w:tcW w:w="4661" w:type="dxa"/>
          </w:tcPr>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Consider the context and the chronology </w:t>
            </w:r>
          </w:p>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Theme the chronology </w:t>
            </w:r>
          </w:p>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Summarise the chronology eg, 0-5, 6-11,12-16, 16 + </w:t>
            </w:r>
          </w:p>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Put the child’s voice into the chronology </w:t>
            </w:r>
          </w:p>
          <w:p w:rsidR="009F1093" w:rsidRPr="009F1093" w:rsidRDefault="009F1093" w:rsidP="00D22D6F">
            <w:pPr>
              <w:rPr>
                <w:rFonts w:ascii="Arial" w:hAnsi="Arial" w:cs="Arial"/>
                <w:sz w:val="18"/>
                <w:szCs w:val="18"/>
              </w:rPr>
            </w:pPr>
            <w:r w:rsidRPr="009F1093">
              <w:rPr>
                <w:rFonts w:ascii="Arial" w:hAnsi="Arial" w:cs="Arial"/>
                <w:color w:val="000000"/>
                <w:sz w:val="18"/>
                <w:szCs w:val="18"/>
              </w:rPr>
              <w:lastRenderedPageBreak/>
              <w:t>Use the chronology for analysis</w:t>
            </w:r>
          </w:p>
        </w:tc>
      </w:tr>
      <w:tr w:rsidR="009F1093" w:rsidRPr="009F1093" w:rsidTr="00D22D6F">
        <w:tc>
          <w:tcPr>
            <w:tcW w:w="4661" w:type="dxa"/>
          </w:tcPr>
          <w:p w:rsidR="009F1093" w:rsidRPr="009F1093" w:rsidRDefault="009F1093" w:rsidP="00D22D6F">
            <w:pPr>
              <w:rPr>
                <w:rFonts w:ascii="Arial" w:hAnsi="Arial" w:cs="Arial"/>
                <w:sz w:val="18"/>
                <w:szCs w:val="18"/>
              </w:rPr>
            </w:pPr>
            <w:r w:rsidRPr="009F1093">
              <w:rPr>
                <w:rFonts w:ascii="Arial" w:hAnsi="Arial" w:cs="Arial"/>
                <w:color w:val="000000"/>
                <w:sz w:val="18"/>
                <w:szCs w:val="18"/>
              </w:rPr>
              <w:lastRenderedPageBreak/>
              <w:t>4. Insufficient weight is given to information from family, friends and neighbours</w:t>
            </w:r>
          </w:p>
        </w:tc>
        <w:tc>
          <w:tcPr>
            <w:tcW w:w="4661" w:type="dxa"/>
          </w:tcPr>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Give equal weight to referrals from family, friends &amp; neighbours </w:t>
            </w:r>
          </w:p>
          <w:p w:rsidR="009F1093" w:rsidRPr="009F1093" w:rsidRDefault="009F1093" w:rsidP="00D22D6F">
            <w:pPr>
              <w:rPr>
                <w:rFonts w:ascii="Arial" w:hAnsi="Arial" w:cs="Arial"/>
                <w:sz w:val="18"/>
                <w:szCs w:val="18"/>
              </w:rPr>
            </w:pPr>
            <w:r w:rsidRPr="009F1093">
              <w:rPr>
                <w:rFonts w:ascii="Arial" w:hAnsi="Arial" w:cs="Arial"/>
                <w:color w:val="000000"/>
                <w:sz w:val="18"/>
                <w:szCs w:val="18"/>
              </w:rPr>
              <w:t>Ensure that “anonymous” is not interpreted as “malicious</w:t>
            </w:r>
          </w:p>
        </w:tc>
      </w:tr>
      <w:tr w:rsidR="009F1093" w:rsidRPr="009F1093" w:rsidTr="00D22D6F">
        <w:tc>
          <w:tcPr>
            <w:tcW w:w="4661" w:type="dxa"/>
          </w:tcPr>
          <w:p w:rsidR="009F1093" w:rsidRPr="009F1093" w:rsidRDefault="009F1093" w:rsidP="00D22D6F">
            <w:pPr>
              <w:rPr>
                <w:rFonts w:ascii="Arial" w:hAnsi="Arial" w:cs="Arial"/>
                <w:sz w:val="18"/>
                <w:szCs w:val="18"/>
              </w:rPr>
            </w:pPr>
            <w:r w:rsidRPr="009F1093">
              <w:rPr>
                <w:rFonts w:ascii="Arial" w:hAnsi="Arial" w:cs="Arial"/>
                <w:color w:val="000000"/>
                <w:sz w:val="18"/>
                <w:szCs w:val="18"/>
              </w:rPr>
              <w:t>5. Insufficient attention is paid to what children say, how they look and how they behave</w:t>
            </w:r>
          </w:p>
        </w:tc>
        <w:tc>
          <w:tcPr>
            <w:tcW w:w="4661" w:type="dxa"/>
          </w:tcPr>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Clearly understand the legal framework for seeing the child </w:t>
            </w:r>
          </w:p>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Be alert to the need to recognise patterns of parental resistance </w:t>
            </w:r>
          </w:p>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Make time for detailed direct observations of the child </w:t>
            </w:r>
          </w:p>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Find out from the child what a day in their life is like </w:t>
            </w:r>
          </w:p>
          <w:p w:rsidR="009F1093" w:rsidRPr="009F1093" w:rsidRDefault="009F1093" w:rsidP="00D22D6F">
            <w:pPr>
              <w:rPr>
                <w:rFonts w:ascii="Arial" w:hAnsi="Arial" w:cs="Arial"/>
                <w:sz w:val="18"/>
                <w:szCs w:val="18"/>
              </w:rPr>
            </w:pPr>
            <w:r w:rsidRPr="009F1093">
              <w:rPr>
                <w:rFonts w:ascii="Arial" w:hAnsi="Arial" w:cs="Arial"/>
                <w:color w:val="000000"/>
                <w:sz w:val="18"/>
                <w:szCs w:val="18"/>
              </w:rPr>
              <w:t>Consider how the child may be silenced by their circumstances</w:t>
            </w:r>
          </w:p>
        </w:tc>
      </w:tr>
      <w:tr w:rsidR="009F1093" w:rsidRPr="009F1093" w:rsidTr="00D22D6F">
        <w:tc>
          <w:tcPr>
            <w:tcW w:w="4661" w:type="dxa"/>
          </w:tcPr>
          <w:p w:rsidR="009F1093" w:rsidRPr="009F1093" w:rsidRDefault="009F1093" w:rsidP="00D22D6F">
            <w:pPr>
              <w:rPr>
                <w:rFonts w:ascii="Arial" w:hAnsi="Arial" w:cs="Arial"/>
                <w:sz w:val="18"/>
                <w:szCs w:val="18"/>
              </w:rPr>
            </w:pPr>
            <w:r w:rsidRPr="009F1093">
              <w:rPr>
                <w:rFonts w:ascii="Arial" w:hAnsi="Arial" w:cs="Arial"/>
                <w:color w:val="000000"/>
                <w:sz w:val="18"/>
                <w:szCs w:val="18"/>
              </w:rPr>
              <w:t>6. There is insufficient full engagement with parents (mothers/fathers/other family carers) to assess risk</w:t>
            </w:r>
          </w:p>
        </w:tc>
        <w:tc>
          <w:tcPr>
            <w:tcW w:w="4661" w:type="dxa"/>
          </w:tcPr>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Dads! Dads! Dads! ……. And other family members </w:t>
            </w:r>
          </w:p>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Engagement &amp; honesty </w:t>
            </w:r>
          </w:p>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Understand the reasons and meaning of “lack of engagement” for individual families </w:t>
            </w:r>
          </w:p>
          <w:p w:rsidR="009F1093" w:rsidRPr="009F1093" w:rsidRDefault="009F1093" w:rsidP="00D22D6F">
            <w:pPr>
              <w:rPr>
                <w:rFonts w:ascii="Arial" w:hAnsi="Arial" w:cs="Arial"/>
                <w:sz w:val="18"/>
                <w:szCs w:val="18"/>
              </w:rPr>
            </w:pPr>
            <w:r w:rsidRPr="009F1093">
              <w:rPr>
                <w:rFonts w:ascii="Arial" w:hAnsi="Arial" w:cs="Arial"/>
                <w:color w:val="000000"/>
                <w:sz w:val="18"/>
                <w:szCs w:val="18"/>
              </w:rPr>
              <w:t>Use a clear framework to assess &amp; analyse risk</w:t>
            </w:r>
          </w:p>
        </w:tc>
      </w:tr>
      <w:tr w:rsidR="009F1093" w:rsidRPr="009F1093" w:rsidTr="00D22D6F">
        <w:tc>
          <w:tcPr>
            <w:tcW w:w="4661" w:type="dxa"/>
          </w:tcPr>
          <w:p w:rsidR="009F1093" w:rsidRPr="009F1093" w:rsidRDefault="009F1093" w:rsidP="00D22D6F">
            <w:pPr>
              <w:rPr>
                <w:rFonts w:ascii="Arial" w:hAnsi="Arial" w:cs="Arial"/>
                <w:sz w:val="18"/>
                <w:szCs w:val="18"/>
              </w:rPr>
            </w:pPr>
            <w:r w:rsidRPr="009F1093">
              <w:rPr>
                <w:rFonts w:ascii="Arial" w:hAnsi="Arial" w:cs="Arial"/>
                <w:color w:val="000000"/>
                <w:sz w:val="18"/>
                <w:szCs w:val="18"/>
              </w:rPr>
              <w:t>7. Initial decisions that are overly focused on age categories of children can result in older children being left in situations of unacceptable risk.</w:t>
            </w:r>
          </w:p>
        </w:tc>
        <w:tc>
          <w:tcPr>
            <w:tcW w:w="4661" w:type="dxa"/>
          </w:tcPr>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Know that children’s services are biased towards intervening with younger children </w:t>
            </w:r>
          </w:p>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Respond robustly to “hard to help” neglected adolescents </w:t>
            </w:r>
          </w:p>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Monitor self &amp; others for “over optimism” with older children </w:t>
            </w:r>
          </w:p>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Find out from the child what a day in their life is like </w:t>
            </w:r>
          </w:p>
          <w:p w:rsidR="009F1093" w:rsidRPr="009F1093" w:rsidRDefault="009F1093" w:rsidP="00D22D6F">
            <w:pPr>
              <w:rPr>
                <w:rFonts w:ascii="Arial" w:hAnsi="Arial" w:cs="Arial"/>
                <w:sz w:val="18"/>
                <w:szCs w:val="18"/>
              </w:rPr>
            </w:pPr>
            <w:r w:rsidRPr="009F1093">
              <w:rPr>
                <w:rFonts w:ascii="Arial" w:hAnsi="Arial" w:cs="Arial"/>
                <w:color w:val="000000"/>
                <w:sz w:val="18"/>
                <w:szCs w:val="18"/>
              </w:rPr>
              <w:t>Ask, if this child were younger, how would we respond?</w:t>
            </w:r>
          </w:p>
        </w:tc>
      </w:tr>
      <w:tr w:rsidR="009F1093" w:rsidRPr="009F1093" w:rsidTr="00D22D6F">
        <w:tc>
          <w:tcPr>
            <w:tcW w:w="4661" w:type="dxa"/>
          </w:tcPr>
          <w:p w:rsidR="009F1093" w:rsidRPr="009F1093" w:rsidRDefault="009F1093" w:rsidP="00D22D6F">
            <w:pPr>
              <w:rPr>
                <w:rFonts w:ascii="Arial" w:hAnsi="Arial" w:cs="Arial"/>
                <w:sz w:val="18"/>
                <w:szCs w:val="18"/>
              </w:rPr>
            </w:pPr>
            <w:r w:rsidRPr="009F1093">
              <w:rPr>
                <w:rFonts w:ascii="Arial" w:hAnsi="Arial" w:cs="Arial"/>
                <w:color w:val="000000"/>
                <w:sz w:val="18"/>
                <w:szCs w:val="18"/>
              </w:rPr>
              <w:t>8. There is insufficient support/supervision to enable practitioners to work effectively with service users who are uncooperative, ambivalent, confrontational, avoidant or aggressive</w:t>
            </w:r>
          </w:p>
        </w:tc>
        <w:tc>
          <w:tcPr>
            <w:tcW w:w="4661" w:type="dxa"/>
          </w:tcPr>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Pay attention to how you feel, notice fear, anxiety, avoidance in yourself </w:t>
            </w:r>
          </w:p>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Demand quality supervision </w:t>
            </w:r>
          </w:p>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Have a clear strategy to keep you &amp; others safe in vulnerable situations </w:t>
            </w:r>
          </w:p>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Joint Visits with other agencies </w:t>
            </w:r>
          </w:p>
          <w:p w:rsidR="009F1093" w:rsidRPr="009F1093" w:rsidRDefault="009F1093" w:rsidP="00D22D6F">
            <w:pPr>
              <w:rPr>
                <w:rFonts w:ascii="Arial" w:hAnsi="Arial" w:cs="Arial"/>
                <w:sz w:val="18"/>
                <w:szCs w:val="18"/>
              </w:rPr>
            </w:pPr>
            <w:r w:rsidRPr="009F1093">
              <w:rPr>
                <w:rFonts w:ascii="Arial" w:hAnsi="Arial" w:cs="Arial"/>
                <w:color w:val="000000"/>
                <w:sz w:val="18"/>
                <w:szCs w:val="18"/>
              </w:rPr>
              <w:t>Speak up when you feel fearful, threatened, intimidated: it is a sign of an effective practitioner</w:t>
            </w:r>
          </w:p>
        </w:tc>
      </w:tr>
      <w:tr w:rsidR="009F1093" w:rsidRPr="009F1093" w:rsidTr="00D22D6F">
        <w:tc>
          <w:tcPr>
            <w:tcW w:w="4661" w:type="dxa"/>
          </w:tcPr>
          <w:p w:rsidR="009F1093" w:rsidRPr="009F1093" w:rsidRDefault="009F1093" w:rsidP="00D22D6F">
            <w:pPr>
              <w:rPr>
                <w:rFonts w:ascii="Arial" w:hAnsi="Arial" w:cs="Arial"/>
                <w:sz w:val="18"/>
                <w:szCs w:val="18"/>
              </w:rPr>
            </w:pPr>
            <w:r w:rsidRPr="009F1093">
              <w:rPr>
                <w:rFonts w:ascii="Arial" w:hAnsi="Arial" w:cs="Arial"/>
                <w:color w:val="000000"/>
                <w:sz w:val="18"/>
                <w:szCs w:val="18"/>
              </w:rPr>
              <w:t>9. Throughout the initial assessment process, professionals do not clearly check that others have understood their communication. There is an assumption that information shared is information understood</w:t>
            </w:r>
          </w:p>
        </w:tc>
        <w:tc>
          <w:tcPr>
            <w:tcW w:w="4661" w:type="dxa"/>
          </w:tcPr>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Check out how information has been received and understood </w:t>
            </w:r>
          </w:p>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When talking to other professionals, be curious about what they think and feel and how they understand the situation </w:t>
            </w:r>
          </w:p>
          <w:p w:rsidR="009F1093" w:rsidRPr="009F1093" w:rsidRDefault="009F1093" w:rsidP="00D22D6F">
            <w:pPr>
              <w:rPr>
                <w:rFonts w:ascii="Arial" w:hAnsi="Arial" w:cs="Arial"/>
                <w:sz w:val="18"/>
                <w:szCs w:val="18"/>
              </w:rPr>
            </w:pPr>
            <w:r w:rsidRPr="009F1093">
              <w:rPr>
                <w:rFonts w:ascii="Arial" w:hAnsi="Arial" w:cs="Arial"/>
                <w:color w:val="000000"/>
                <w:sz w:val="18"/>
                <w:szCs w:val="18"/>
              </w:rPr>
              <w:t>Be mindful of the desire of some people to deceive – maintain a “respectful uncertainty” &amp; “healthy scepticism”</w:t>
            </w:r>
          </w:p>
        </w:tc>
      </w:tr>
      <w:tr w:rsidR="009F1093" w:rsidRPr="009F1093" w:rsidTr="00D22D6F">
        <w:tc>
          <w:tcPr>
            <w:tcW w:w="4661" w:type="dxa"/>
          </w:tcPr>
          <w:p w:rsidR="009F1093" w:rsidRPr="009F1093" w:rsidRDefault="009F1093" w:rsidP="00D22D6F">
            <w:pPr>
              <w:rPr>
                <w:rFonts w:ascii="Arial" w:hAnsi="Arial" w:cs="Arial"/>
                <w:sz w:val="18"/>
                <w:szCs w:val="18"/>
              </w:rPr>
            </w:pPr>
            <w:r w:rsidRPr="009F1093">
              <w:rPr>
                <w:rFonts w:ascii="Arial" w:hAnsi="Arial" w:cs="Arial"/>
                <w:color w:val="000000"/>
                <w:sz w:val="18"/>
                <w:szCs w:val="18"/>
              </w:rPr>
              <w:t>10. Case responsibility is diluted in the context of multi-agency working, impacting both on referrals and response. The local authority may inappropriately signpost families to other agencies, with no follow up</w:t>
            </w:r>
          </w:p>
        </w:tc>
        <w:tc>
          <w:tcPr>
            <w:tcW w:w="4661" w:type="dxa"/>
          </w:tcPr>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Role Clarity </w:t>
            </w:r>
          </w:p>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Effective communication with other agencies, maximise verbal &amp; face to face communication </w:t>
            </w:r>
          </w:p>
          <w:p w:rsidR="009F1093" w:rsidRPr="009F1093" w:rsidRDefault="009F1093" w:rsidP="00D22D6F">
            <w:pPr>
              <w:rPr>
                <w:rFonts w:ascii="Arial" w:hAnsi="Arial" w:cs="Arial"/>
                <w:sz w:val="18"/>
                <w:szCs w:val="18"/>
              </w:rPr>
            </w:pPr>
            <w:r w:rsidRPr="009F1093">
              <w:rPr>
                <w:rFonts w:ascii="Arial" w:hAnsi="Arial" w:cs="Arial"/>
                <w:color w:val="000000"/>
                <w:sz w:val="18"/>
                <w:szCs w:val="18"/>
              </w:rPr>
              <w:t>Confirm key decisions &amp; reasons in writing</w:t>
            </w:r>
          </w:p>
        </w:tc>
      </w:tr>
      <w:tr w:rsidR="009F1093" w:rsidRPr="009F1093" w:rsidTr="00D22D6F">
        <w:tc>
          <w:tcPr>
            <w:tcW w:w="9322" w:type="dxa"/>
            <w:gridSpan w:val="2"/>
          </w:tcPr>
          <w:p w:rsidR="009F1093" w:rsidRPr="009F1093" w:rsidRDefault="009F1093" w:rsidP="00D22D6F">
            <w:pPr>
              <w:autoSpaceDE w:val="0"/>
              <w:autoSpaceDN w:val="0"/>
              <w:adjustRightInd w:val="0"/>
              <w:rPr>
                <w:rFonts w:ascii="Arial" w:hAnsi="Arial" w:cs="Arial"/>
                <w:color w:val="000000"/>
                <w:sz w:val="18"/>
                <w:szCs w:val="18"/>
              </w:rPr>
            </w:pPr>
            <w:r w:rsidRPr="009F1093">
              <w:rPr>
                <w:rFonts w:ascii="Arial" w:hAnsi="Arial" w:cs="Arial"/>
                <w:sz w:val="18"/>
                <w:szCs w:val="18"/>
              </w:rPr>
              <w:t xml:space="preserve">(Broadhurst et al 2010, </w:t>
            </w:r>
            <w:hyperlink r:id="rId10" w:history="1">
              <w:r w:rsidRPr="009F1093">
                <w:rPr>
                  <w:rStyle w:val="Hyperlink"/>
                  <w:rFonts w:ascii="Arial" w:hAnsi="Arial" w:cs="Arial"/>
                  <w:sz w:val="18"/>
                  <w:szCs w:val="18"/>
                </w:rPr>
                <w:t xml:space="preserve">http://www.nspcc.org.uk/Inform/publications/downloads/tenpitfalls_wdf48122.pdf </w:t>
              </w:r>
            </w:hyperlink>
            <w:r w:rsidRPr="009F1093">
              <w:rPr>
                <w:rFonts w:ascii="Arial" w:hAnsi="Arial" w:cs="Arial"/>
                <w:color w:val="000000"/>
                <w:sz w:val="18"/>
                <w:szCs w:val="18"/>
              </w:rPr>
              <w:t xml:space="preserve"> </w:t>
            </w:r>
          </w:p>
        </w:tc>
      </w:tr>
    </w:tbl>
    <w:p w:rsidR="002B50B2" w:rsidRDefault="002B50B2" w:rsidP="002B50B2">
      <w:pPr>
        <w:pStyle w:val="Default"/>
        <w:rPr>
          <w:b/>
          <w:bCs/>
          <w:color w:val="auto"/>
          <w:sz w:val="28"/>
          <w:szCs w:val="28"/>
        </w:rPr>
      </w:pPr>
    </w:p>
    <w:p w:rsidR="00A17821" w:rsidRDefault="00A17821" w:rsidP="002B50B2">
      <w:pPr>
        <w:pStyle w:val="Default"/>
        <w:rPr>
          <w:b/>
          <w:bCs/>
          <w:color w:val="auto"/>
          <w:sz w:val="28"/>
          <w:szCs w:val="28"/>
        </w:rPr>
      </w:pPr>
    </w:p>
    <w:p w:rsidR="009F1093" w:rsidRDefault="009F1093" w:rsidP="002B50B2">
      <w:pPr>
        <w:pStyle w:val="Default"/>
        <w:rPr>
          <w:b/>
          <w:bCs/>
          <w:color w:val="auto"/>
          <w:sz w:val="28"/>
          <w:szCs w:val="28"/>
        </w:rPr>
      </w:pPr>
    </w:p>
    <w:p w:rsidR="009F1093" w:rsidRDefault="009F1093" w:rsidP="002B50B2">
      <w:pPr>
        <w:pStyle w:val="Default"/>
        <w:rPr>
          <w:b/>
          <w:bCs/>
          <w:color w:val="auto"/>
          <w:sz w:val="28"/>
          <w:szCs w:val="28"/>
        </w:rPr>
      </w:pPr>
    </w:p>
    <w:p w:rsidR="002B50B2" w:rsidRDefault="002B50B2" w:rsidP="002B50B2">
      <w:pPr>
        <w:pStyle w:val="Default"/>
        <w:rPr>
          <w:b/>
          <w:bCs/>
          <w:color w:val="auto"/>
          <w:sz w:val="28"/>
          <w:szCs w:val="28"/>
        </w:rPr>
      </w:pPr>
    </w:p>
    <w:p w:rsidR="002B50B2" w:rsidRPr="009F1093" w:rsidRDefault="002B50B2" w:rsidP="002B50B2">
      <w:pPr>
        <w:pStyle w:val="Default"/>
        <w:rPr>
          <w:b/>
          <w:bCs/>
          <w:color w:val="1F497D" w:themeColor="text2"/>
          <w:sz w:val="28"/>
          <w:szCs w:val="28"/>
        </w:rPr>
      </w:pPr>
      <w:r w:rsidRPr="009F1093">
        <w:rPr>
          <w:b/>
          <w:bCs/>
          <w:color w:val="1F497D" w:themeColor="text2"/>
          <w:sz w:val="28"/>
          <w:szCs w:val="28"/>
        </w:rPr>
        <w:t xml:space="preserve">Useful </w:t>
      </w:r>
      <w:r w:rsidR="009F1093">
        <w:rPr>
          <w:b/>
          <w:bCs/>
          <w:color w:val="1F497D" w:themeColor="text2"/>
          <w:sz w:val="28"/>
          <w:szCs w:val="28"/>
        </w:rPr>
        <w:t>r</w:t>
      </w:r>
      <w:r w:rsidRPr="009F1093">
        <w:rPr>
          <w:b/>
          <w:bCs/>
          <w:color w:val="1F497D" w:themeColor="text2"/>
          <w:sz w:val="28"/>
          <w:szCs w:val="28"/>
        </w:rPr>
        <w:t>eferences &amp; further reading</w:t>
      </w:r>
    </w:p>
    <w:p w:rsidR="002B50B2" w:rsidRDefault="002B50B2" w:rsidP="002B50B2">
      <w:pPr>
        <w:pStyle w:val="Default"/>
        <w:rPr>
          <w:b/>
          <w:bCs/>
          <w:color w:val="auto"/>
          <w:sz w:val="28"/>
          <w:szCs w:val="28"/>
        </w:rPr>
      </w:pPr>
    </w:p>
    <w:p w:rsidR="002B50B2" w:rsidRPr="007A65CA" w:rsidRDefault="002B50B2" w:rsidP="002B50B2">
      <w:pPr>
        <w:pStyle w:val="Default"/>
        <w:rPr>
          <w:b/>
          <w:bCs/>
          <w:color w:val="FF0000"/>
          <w:sz w:val="28"/>
          <w:szCs w:val="28"/>
        </w:rPr>
      </w:pPr>
    </w:p>
    <w:p w:rsidR="002B50B2" w:rsidRPr="007A65CA" w:rsidRDefault="002B50B2" w:rsidP="002B50B2">
      <w:pPr>
        <w:pStyle w:val="Default"/>
        <w:rPr>
          <w:b/>
          <w:bCs/>
          <w:color w:val="FF0000"/>
          <w:sz w:val="28"/>
          <w:szCs w:val="28"/>
        </w:rPr>
      </w:pPr>
      <w:r w:rsidRPr="007A65CA">
        <w:rPr>
          <w:b/>
          <w:bCs/>
          <w:color w:val="FF0000"/>
          <w:sz w:val="28"/>
          <w:szCs w:val="28"/>
        </w:rPr>
        <w:t xml:space="preserve">Add </w:t>
      </w:r>
      <w:r>
        <w:rPr>
          <w:b/>
          <w:bCs/>
          <w:color w:val="FF0000"/>
          <w:sz w:val="28"/>
          <w:szCs w:val="28"/>
        </w:rPr>
        <w:t>Bryn</w:t>
      </w:r>
      <w:r w:rsidRPr="007A65CA">
        <w:rPr>
          <w:b/>
          <w:bCs/>
          <w:color w:val="FF0000"/>
          <w:sz w:val="28"/>
          <w:szCs w:val="28"/>
        </w:rPr>
        <w:t xml:space="preserve"> Williams Reference &amp; Liz’ references / C Change</w:t>
      </w:r>
    </w:p>
    <w:p w:rsidR="002B50B2" w:rsidRDefault="002B50B2" w:rsidP="002B50B2">
      <w:pPr>
        <w:pStyle w:val="Default"/>
        <w:rPr>
          <w:color w:val="auto"/>
          <w:sz w:val="28"/>
          <w:szCs w:val="28"/>
        </w:rPr>
      </w:pPr>
    </w:p>
    <w:p w:rsidR="002B50B2" w:rsidRDefault="002B50B2" w:rsidP="002B50B2">
      <w:pPr>
        <w:pStyle w:val="Default"/>
        <w:rPr>
          <w:color w:val="auto"/>
          <w:sz w:val="23"/>
          <w:szCs w:val="23"/>
        </w:rPr>
      </w:pPr>
      <w:r>
        <w:rPr>
          <w:color w:val="auto"/>
          <w:sz w:val="23"/>
          <w:szCs w:val="23"/>
        </w:rPr>
        <w:t xml:space="preserve">Advisory Council on the Misuse of Drugs (2003) </w:t>
      </w:r>
      <w:r>
        <w:rPr>
          <w:b/>
          <w:bCs/>
          <w:color w:val="auto"/>
          <w:sz w:val="23"/>
          <w:szCs w:val="23"/>
        </w:rPr>
        <w:t>Hidden harm: responding to the needs of children of problem drug users (PDF)</w:t>
      </w:r>
      <w:r>
        <w:rPr>
          <w:color w:val="auto"/>
          <w:sz w:val="23"/>
          <w:szCs w:val="23"/>
        </w:rPr>
        <w:t xml:space="preserve">. London: Home Office. </w:t>
      </w:r>
    </w:p>
    <w:p w:rsidR="002B50B2" w:rsidRDefault="002B50B2" w:rsidP="002B50B2">
      <w:pPr>
        <w:pStyle w:val="Default"/>
        <w:rPr>
          <w:color w:val="auto"/>
          <w:sz w:val="23"/>
          <w:szCs w:val="23"/>
        </w:rPr>
      </w:pPr>
      <w:r>
        <w:rPr>
          <w:color w:val="auto"/>
          <w:sz w:val="23"/>
          <w:szCs w:val="23"/>
        </w:rPr>
        <w:t xml:space="preserve">Booth, T. and Booth, W. (1993) </w:t>
      </w:r>
      <w:r>
        <w:rPr>
          <w:b/>
          <w:bCs/>
          <w:color w:val="auto"/>
          <w:sz w:val="23"/>
          <w:szCs w:val="23"/>
        </w:rPr>
        <w:t>Parenting with learning difficulties: lessons for practitioners</w:t>
      </w:r>
      <w:r>
        <w:rPr>
          <w:color w:val="auto"/>
          <w:sz w:val="23"/>
          <w:szCs w:val="23"/>
        </w:rPr>
        <w:t xml:space="preserve">. British Journal of Social Work, 23: 459-480. </w:t>
      </w:r>
    </w:p>
    <w:p w:rsidR="002B50B2" w:rsidRDefault="002B50B2" w:rsidP="002B50B2">
      <w:pPr>
        <w:pStyle w:val="Default"/>
        <w:rPr>
          <w:color w:val="auto"/>
        </w:rPr>
      </w:pPr>
    </w:p>
    <w:p w:rsidR="002B50B2" w:rsidRDefault="002B50B2" w:rsidP="002B50B2">
      <w:pPr>
        <w:pStyle w:val="Default"/>
        <w:rPr>
          <w:color w:val="auto"/>
          <w:sz w:val="23"/>
          <w:szCs w:val="23"/>
        </w:rPr>
      </w:pPr>
      <w:r>
        <w:rPr>
          <w:color w:val="auto"/>
          <w:sz w:val="23"/>
          <w:szCs w:val="23"/>
        </w:rPr>
        <w:t xml:space="preserve">Department for Education (DfE) (2010c) </w:t>
      </w:r>
      <w:r>
        <w:rPr>
          <w:b/>
          <w:bCs/>
          <w:color w:val="auto"/>
          <w:sz w:val="23"/>
          <w:szCs w:val="23"/>
        </w:rPr>
        <w:t>Parenting with learning disabilities: recognition and response (PowerPoint)</w:t>
      </w:r>
      <w:r>
        <w:rPr>
          <w:color w:val="auto"/>
          <w:sz w:val="23"/>
          <w:szCs w:val="23"/>
        </w:rPr>
        <w:t xml:space="preserve">. London: Department for Education (DfE). </w:t>
      </w:r>
    </w:p>
    <w:p w:rsidR="009F1093" w:rsidRDefault="002B50B2" w:rsidP="009F1093">
      <w:pPr>
        <w:pStyle w:val="Default"/>
        <w:rPr>
          <w:rFonts w:ascii="Cambria" w:hAnsi="Cambria" w:cs="Cambria"/>
          <w:b/>
          <w:bCs/>
          <w:color w:val="auto"/>
          <w:sz w:val="23"/>
          <w:szCs w:val="23"/>
        </w:rPr>
      </w:pPr>
      <w:r>
        <w:rPr>
          <w:color w:val="auto"/>
          <w:sz w:val="23"/>
          <w:szCs w:val="23"/>
        </w:rPr>
        <w:t xml:space="preserve">Department for Education (DfE) (2013) </w:t>
      </w:r>
      <w:r>
        <w:rPr>
          <w:b/>
          <w:bCs/>
          <w:color w:val="auto"/>
          <w:sz w:val="23"/>
          <w:szCs w:val="23"/>
        </w:rPr>
        <w:t>Common assessment framework</w:t>
      </w:r>
      <w:r>
        <w:rPr>
          <w:color w:val="auto"/>
          <w:sz w:val="23"/>
          <w:szCs w:val="23"/>
        </w:rPr>
        <w:t xml:space="preserve">. London: Department for Education (DfE). </w:t>
      </w:r>
      <w:r>
        <w:rPr>
          <w:rFonts w:ascii="Cambria" w:hAnsi="Cambria" w:cs="Cambria"/>
          <w:color w:val="auto"/>
          <w:sz w:val="23"/>
          <w:szCs w:val="23"/>
        </w:rPr>
        <w:t xml:space="preserve">Page </w:t>
      </w:r>
      <w:r>
        <w:rPr>
          <w:rFonts w:ascii="Cambria" w:hAnsi="Cambria" w:cs="Cambria"/>
          <w:b/>
          <w:bCs/>
          <w:color w:val="auto"/>
          <w:sz w:val="23"/>
          <w:szCs w:val="23"/>
        </w:rPr>
        <w:t xml:space="preserve">11 </w:t>
      </w:r>
      <w:r>
        <w:rPr>
          <w:rFonts w:ascii="Cambria" w:hAnsi="Cambria" w:cs="Cambria"/>
          <w:color w:val="auto"/>
          <w:sz w:val="23"/>
          <w:szCs w:val="23"/>
        </w:rPr>
        <w:t xml:space="preserve">of </w:t>
      </w:r>
      <w:r>
        <w:rPr>
          <w:rFonts w:ascii="Cambria" w:hAnsi="Cambria" w:cs="Cambria"/>
          <w:b/>
          <w:bCs/>
          <w:color w:val="auto"/>
          <w:sz w:val="23"/>
          <w:szCs w:val="23"/>
        </w:rPr>
        <w:t xml:space="preserve">15 </w:t>
      </w:r>
    </w:p>
    <w:p w:rsidR="002B50B2" w:rsidRDefault="002B50B2" w:rsidP="009F1093">
      <w:pPr>
        <w:pStyle w:val="Default"/>
        <w:rPr>
          <w:color w:val="auto"/>
          <w:sz w:val="23"/>
          <w:szCs w:val="23"/>
        </w:rPr>
      </w:pPr>
      <w:r>
        <w:rPr>
          <w:color w:val="auto"/>
          <w:sz w:val="23"/>
          <w:szCs w:val="23"/>
        </w:rPr>
        <w:t xml:space="preserve">Brandon, M. et al (2008) </w:t>
      </w:r>
      <w:r>
        <w:rPr>
          <w:b/>
          <w:bCs/>
          <w:color w:val="auto"/>
          <w:sz w:val="23"/>
          <w:szCs w:val="23"/>
        </w:rPr>
        <w:t>Analysing child deaths and serious injury through abuse and neglect: what can we learn? A biennial analysis of serious case reviews 2003-2005 (PDF)</w:t>
      </w:r>
      <w:r>
        <w:rPr>
          <w:color w:val="auto"/>
          <w:sz w:val="23"/>
          <w:szCs w:val="23"/>
        </w:rPr>
        <w:t xml:space="preserve">. London: Department for Education and Skills (DfES). </w:t>
      </w:r>
    </w:p>
    <w:p w:rsidR="002B50B2" w:rsidRDefault="002B50B2" w:rsidP="002B50B2">
      <w:pPr>
        <w:pStyle w:val="Default"/>
        <w:rPr>
          <w:color w:val="auto"/>
          <w:sz w:val="23"/>
          <w:szCs w:val="23"/>
        </w:rPr>
      </w:pPr>
      <w:r>
        <w:rPr>
          <w:color w:val="auto"/>
          <w:sz w:val="23"/>
          <w:szCs w:val="23"/>
        </w:rPr>
        <w:t xml:space="preserve">Brandon, M. et al (2009) </w:t>
      </w:r>
      <w:r>
        <w:rPr>
          <w:b/>
          <w:bCs/>
          <w:color w:val="auto"/>
          <w:sz w:val="23"/>
          <w:szCs w:val="23"/>
        </w:rPr>
        <w:t>Understanding serious case reviews and their impact: a biennial analysis of serious case reviews 2005-07 (PDF)</w:t>
      </w:r>
      <w:r>
        <w:rPr>
          <w:color w:val="auto"/>
          <w:sz w:val="23"/>
          <w:szCs w:val="23"/>
        </w:rPr>
        <w:t xml:space="preserve">. London: Department for Children, Schools and Families (DCSF). </w:t>
      </w:r>
    </w:p>
    <w:p w:rsidR="002B50B2" w:rsidRDefault="002B50B2" w:rsidP="002B50B2">
      <w:pPr>
        <w:pStyle w:val="Default"/>
        <w:rPr>
          <w:color w:val="auto"/>
          <w:sz w:val="23"/>
          <w:szCs w:val="23"/>
        </w:rPr>
      </w:pPr>
      <w:r>
        <w:rPr>
          <w:color w:val="auto"/>
          <w:sz w:val="23"/>
          <w:szCs w:val="23"/>
        </w:rPr>
        <w:t xml:space="preserve">British Medical Association (BMA) (2007) </w:t>
      </w:r>
      <w:r>
        <w:rPr>
          <w:b/>
          <w:bCs/>
          <w:color w:val="auto"/>
          <w:sz w:val="23"/>
          <w:szCs w:val="23"/>
        </w:rPr>
        <w:t>Fetal alcohol spectrum disorders: a guide for healthcare professionals (PDF)</w:t>
      </w:r>
      <w:r>
        <w:rPr>
          <w:color w:val="auto"/>
          <w:sz w:val="23"/>
          <w:szCs w:val="23"/>
        </w:rPr>
        <w:t xml:space="preserve">. London: British Medical Association (BMA). </w:t>
      </w:r>
    </w:p>
    <w:p w:rsidR="002B50B2" w:rsidRDefault="002B50B2" w:rsidP="002B50B2">
      <w:pPr>
        <w:pStyle w:val="Default"/>
        <w:rPr>
          <w:color w:val="auto"/>
          <w:sz w:val="23"/>
          <w:szCs w:val="23"/>
        </w:rPr>
      </w:pPr>
      <w:r>
        <w:rPr>
          <w:color w:val="auto"/>
          <w:sz w:val="23"/>
          <w:szCs w:val="23"/>
        </w:rPr>
        <w:t xml:space="preserve">Calder, M., Harold, G. and Howarth, E. (2004) </w:t>
      </w:r>
      <w:r>
        <w:rPr>
          <w:b/>
          <w:bCs/>
          <w:color w:val="auto"/>
          <w:sz w:val="23"/>
          <w:szCs w:val="23"/>
        </w:rPr>
        <w:t xml:space="preserve">Children living with domestic violence: towards a framework for assessment and intervention. </w:t>
      </w:r>
      <w:r>
        <w:rPr>
          <w:color w:val="auto"/>
          <w:sz w:val="23"/>
          <w:szCs w:val="23"/>
        </w:rPr>
        <w:t xml:space="preserve">London: Russell House. </w:t>
      </w:r>
    </w:p>
    <w:p w:rsidR="002B50B2" w:rsidRDefault="002B50B2" w:rsidP="002B50B2">
      <w:pPr>
        <w:pStyle w:val="Default"/>
        <w:rPr>
          <w:color w:val="auto"/>
          <w:sz w:val="23"/>
          <w:szCs w:val="23"/>
        </w:rPr>
      </w:pPr>
      <w:r>
        <w:rPr>
          <w:color w:val="auto"/>
          <w:sz w:val="23"/>
          <w:szCs w:val="23"/>
        </w:rPr>
        <w:t xml:space="preserve">Cassell, D. and Coleman, R. (1995) Parents with psychiatric problems. In: Reder , R. and Lucey, C. (eds.) </w:t>
      </w:r>
      <w:r>
        <w:rPr>
          <w:b/>
          <w:bCs/>
          <w:color w:val="auto"/>
          <w:sz w:val="23"/>
          <w:szCs w:val="23"/>
        </w:rPr>
        <w:t xml:space="preserve">Assessment of parenting: psychiatric and psychological contributions. </w:t>
      </w:r>
      <w:r>
        <w:rPr>
          <w:color w:val="auto"/>
          <w:sz w:val="23"/>
          <w:szCs w:val="23"/>
        </w:rPr>
        <w:t xml:space="preserve">London: Routledge. </w:t>
      </w:r>
    </w:p>
    <w:p w:rsidR="002B50B2" w:rsidRDefault="002B50B2" w:rsidP="002B50B2">
      <w:pPr>
        <w:pStyle w:val="Default"/>
        <w:rPr>
          <w:color w:val="auto"/>
          <w:sz w:val="23"/>
          <w:szCs w:val="23"/>
        </w:rPr>
      </w:pPr>
      <w:r>
        <w:rPr>
          <w:color w:val="auto"/>
          <w:sz w:val="23"/>
          <w:szCs w:val="23"/>
        </w:rPr>
        <w:t xml:space="preserve">Cleaver, H. and Walker, S. (2004) </w:t>
      </w:r>
      <w:r>
        <w:rPr>
          <w:b/>
          <w:bCs/>
          <w:color w:val="auto"/>
          <w:sz w:val="23"/>
          <w:szCs w:val="23"/>
        </w:rPr>
        <w:t xml:space="preserve">From policy to practice: the implementation of a new framework for social work assessment of children and families. </w:t>
      </w:r>
      <w:r>
        <w:rPr>
          <w:color w:val="auto"/>
          <w:sz w:val="23"/>
          <w:szCs w:val="23"/>
        </w:rPr>
        <w:t xml:space="preserve">Child and Family Social Work, 9 (1): 81-90. </w:t>
      </w:r>
    </w:p>
    <w:p w:rsidR="002B50B2" w:rsidRDefault="002B50B2" w:rsidP="002B50B2">
      <w:pPr>
        <w:pStyle w:val="Default"/>
        <w:rPr>
          <w:color w:val="auto"/>
          <w:sz w:val="23"/>
          <w:szCs w:val="23"/>
        </w:rPr>
      </w:pPr>
      <w:r>
        <w:rPr>
          <w:color w:val="auto"/>
          <w:sz w:val="23"/>
          <w:szCs w:val="23"/>
        </w:rPr>
        <w:t xml:space="preserve">Cleaver, H., Unell, I. and Aldgate, J. (2011) </w:t>
      </w:r>
      <w:r>
        <w:rPr>
          <w:b/>
          <w:bCs/>
          <w:color w:val="auto"/>
          <w:sz w:val="23"/>
          <w:szCs w:val="23"/>
        </w:rPr>
        <w:t>Children's needs – parenting capacity: child abuse: parental mental illness, learning disability, substance misuse and domestic violence (2nd ed.) (PDF)</w:t>
      </w:r>
      <w:r>
        <w:rPr>
          <w:color w:val="auto"/>
          <w:sz w:val="23"/>
          <w:szCs w:val="23"/>
        </w:rPr>
        <w:t xml:space="preserve">. London: The Stationery Office (TSO). </w:t>
      </w:r>
    </w:p>
    <w:p w:rsidR="002B50B2" w:rsidRDefault="002B50B2" w:rsidP="002B50B2">
      <w:pPr>
        <w:pStyle w:val="Default"/>
        <w:rPr>
          <w:color w:val="auto"/>
          <w:sz w:val="23"/>
          <w:szCs w:val="23"/>
        </w:rPr>
      </w:pPr>
      <w:r>
        <w:rPr>
          <w:color w:val="auto"/>
          <w:sz w:val="23"/>
          <w:szCs w:val="23"/>
        </w:rPr>
        <w:t xml:space="preserve">Conley, C. (2003). </w:t>
      </w:r>
      <w:r>
        <w:rPr>
          <w:b/>
          <w:bCs/>
          <w:color w:val="auto"/>
          <w:sz w:val="23"/>
          <w:szCs w:val="23"/>
        </w:rPr>
        <w:t xml:space="preserve">A review of parenting capacity assessment reports. </w:t>
      </w:r>
      <w:r>
        <w:rPr>
          <w:color w:val="auto"/>
          <w:sz w:val="23"/>
          <w:szCs w:val="23"/>
        </w:rPr>
        <w:t xml:space="preserve">Ontario Association of Children's Aid Societies (OACAS) Journal, 47(3): 16– 22. </w:t>
      </w:r>
    </w:p>
    <w:p w:rsidR="002B50B2" w:rsidRDefault="002B50B2" w:rsidP="002B50B2">
      <w:pPr>
        <w:pStyle w:val="Default"/>
        <w:rPr>
          <w:color w:val="auto"/>
          <w:sz w:val="23"/>
          <w:szCs w:val="23"/>
        </w:rPr>
      </w:pPr>
      <w:r>
        <w:rPr>
          <w:color w:val="auto"/>
          <w:sz w:val="23"/>
          <w:szCs w:val="23"/>
        </w:rPr>
        <w:t xml:space="preserve">Department for Education (DfE) (2010a) </w:t>
      </w:r>
      <w:r>
        <w:rPr>
          <w:b/>
          <w:bCs/>
          <w:color w:val="auto"/>
          <w:sz w:val="23"/>
          <w:szCs w:val="23"/>
        </w:rPr>
        <w:t>Communicating with parents: assessment, analysis and planning (PowerPoint)</w:t>
      </w:r>
      <w:r>
        <w:rPr>
          <w:color w:val="auto"/>
          <w:sz w:val="23"/>
          <w:szCs w:val="23"/>
        </w:rPr>
        <w:t xml:space="preserve">. London: Department for Education (DfE). </w:t>
      </w:r>
    </w:p>
    <w:p w:rsidR="009F1093" w:rsidRDefault="002B50B2" w:rsidP="009F1093">
      <w:pPr>
        <w:pStyle w:val="Default"/>
        <w:rPr>
          <w:color w:val="auto"/>
          <w:sz w:val="23"/>
          <w:szCs w:val="23"/>
        </w:rPr>
      </w:pPr>
      <w:r>
        <w:rPr>
          <w:color w:val="auto"/>
          <w:sz w:val="23"/>
          <w:szCs w:val="23"/>
        </w:rPr>
        <w:t xml:space="preserve">Department for Education (DfE) (2010b) </w:t>
      </w:r>
      <w:r>
        <w:rPr>
          <w:b/>
          <w:bCs/>
          <w:color w:val="auto"/>
          <w:sz w:val="23"/>
          <w:szCs w:val="23"/>
        </w:rPr>
        <w:t>Assessing motivation and willingness to change: assessment, analysis and planning (PowerPoint)</w:t>
      </w:r>
      <w:r>
        <w:rPr>
          <w:color w:val="auto"/>
          <w:sz w:val="23"/>
          <w:szCs w:val="23"/>
        </w:rPr>
        <w:t xml:space="preserve">. London: Department for Education (DfE). </w:t>
      </w:r>
    </w:p>
    <w:p w:rsidR="002B50B2" w:rsidRDefault="002B50B2" w:rsidP="009F1093">
      <w:pPr>
        <w:pStyle w:val="Default"/>
        <w:rPr>
          <w:color w:val="auto"/>
          <w:sz w:val="23"/>
          <w:szCs w:val="23"/>
        </w:rPr>
      </w:pPr>
      <w:r>
        <w:rPr>
          <w:color w:val="auto"/>
          <w:sz w:val="23"/>
          <w:szCs w:val="23"/>
        </w:rPr>
        <w:t xml:space="preserve">Department of Health, Cox, A. and Bentovim, A. (2000) </w:t>
      </w:r>
      <w:r>
        <w:rPr>
          <w:b/>
          <w:bCs/>
          <w:color w:val="auto"/>
          <w:sz w:val="23"/>
          <w:szCs w:val="23"/>
        </w:rPr>
        <w:t>The family assessment pack of questionnaires and scales</w:t>
      </w:r>
      <w:r>
        <w:rPr>
          <w:color w:val="auto"/>
          <w:sz w:val="23"/>
          <w:szCs w:val="23"/>
        </w:rPr>
        <w:t xml:space="preserve">. London: The Stationery Office (TSO). </w:t>
      </w:r>
    </w:p>
    <w:p w:rsidR="002B50B2" w:rsidRDefault="002B50B2" w:rsidP="002B50B2">
      <w:pPr>
        <w:pStyle w:val="Default"/>
        <w:rPr>
          <w:color w:val="auto"/>
          <w:sz w:val="23"/>
          <w:szCs w:val="23"/>
        </w:rPr>
      </w:pPr>
      <w:r>
        <w:rPr>
          <w:color w:val="auto"/>
          <w:sz w:val="23"/>
          <w:szCs w:val="23"/>
        </w:rPr>
        <w:t xml:space="preserve">Falkov, A. (1996) </w:t>
      </w:r>
      <w:r>
        <w:rPr>
          <w:b/>
          <w:bCs/>
          <w:color w:val="auto"/>
          <w:sz w:val="23"/>
          <w:szCs w:val="23"/>
        </w:rPr>
        <w:t>Study of Working together part 8 reports. Fatal child abuse and parental psychiatric disorder: an analysis of 100 Area Child Protection Committee case reviews conducted under the terms of Part 8 Working together under the Children Act 1989</w:t>
      </w:r>
      <w:r>
        <w:rPr>
          <w:color w:val="auto"/>
          <w:sz w:val="23"/>
          <w:szCs w:val="23"/>
        </w:rPr>
        <w:t xml:space="preserve">. London: Department of Health (DoH). </w:t>
      </w:r>
    </w:p>
    <w:p w:rsidR="002B50B2" w:rsidRDefault="002B50B2" w:rsidP="002B50B2">
      <w:pPr>
        <w:pStyle w:val="Default"/>
        <w:rPr>
          <w:color w:val="auto"/>
          <w:sz w:val="23"/>
          <w:szCs w:val="23"/>
        </w:rPr>
      </w:pPr>
      <w:r>
        <w:rPr>
          <w:color w:val="auto"/>
          <w:sz w:val="23"/>
          <w:szCs w:val="23"/>
        </w:rPr>
        <w:t xml:space="preserve">Falkov, A., Mayes, K. and Diggins, M. (1998) </w:t>
      </w:r>
      <w:r>
        <w:rPr>
          <w:b/>
          <w:bCs/>
          <w:color w:val="auto"/>
          <w:sz w:val="23"/>
          <w:szCs w:val="23"/>
        </w:rPr>
        <w:t>Crossing bridges: training resources for working with mentally ill parents and their children</w:t>
      </w:r>
      <w:r>
        <w:rPr>
          <w:color w:val="auto"/>
          <w:sz w:val="23"/>
          <w:szCs w:val="23"/>
        </w:rPr>
        <w:t xml:space="preserve">. Brighton: Pavilion. </w:t>
      </w:r>
    </w:p>
    <w:p w:rsidR="002B50B2" w:rsidRDefault="002B50B2" w:rsidP="002B50B2">
      <w:pPr>
        <w:pStyle w:val="Default"/>
        <w:rPr>
          <w:color w:val="auto"/>
          <w:sz w:val="23"/>
          <w:szCs w:val="23"/>
        </w:rPr>
      </w:pPr>
      <w:r>
        <w:rPr>
          <w:color w:val="auto"/>
          <w:sz w:val="23"/>
          <w:szCs w:val="23"/>
        </w:rPr>
        <w:t xml:space="preserve">Farmer, C. and Owen, M. (1995) </w:t>
      </w:r>
      <w:r>
        <w:rPr>
          <w:b/>
          <w:bCs/>
          <w:color w:val="auto"/>
          <w:sz w:val="23"/>
          <w:szCs w:val="23"/>
        </w:rPr>
        <w:t>Child protection practice: private risks and public remedies</w:t>
      </w:r>
      <w:r>
        <w:rPr>
          <w:color w:val="auto"/>
          <w:sz w:val="23"/>
          <w:szCs w:val="23"/>
        </w:rPr>
        <w:t xml:space="preserve">. London: Her Majesty's Stationery Office (HMSO). </w:t>
      </w:r>
    </w:p>
    <w:p w:rsidR="002B50B2" w:rsidRDefault="002B50B2" w:rsidP="002B50B2">
      <w:pPr>
        <w:pStyle w:val="Default"/>
        <w:rPr>
          <w:color w:val="auto"/>
          <w:sz w:val="23"/>
          <w:szCs w:val="23"/>
        </w:rPr>
      </w:pPr>
      <w:r>
        <w:rPr>
          <w:color w:val="auto"/>
          <w:sz w:val="23"/>
          <w:szCs w:val="23"/>
        </w:rPr>
        <w:lastRenderedPageBreak/>
        <w:t xml:space="preserve">Forrester, D. et al (2008) </w:t>
      </w:r>
      <w:r>
        <w:rPr>
          <w:b/>
          <w:bCs/>
          <w:color w:val="auto"/>
          <w:sz w:val="23"/>
          <w:szCs w:val="23"/>
        </w:rPr>
        <w:t xml:space="preserve">Communication skills in child protection: how do social workers talk to parents? </w:t>
      </w:r>
      <w:r>
        <w:rPr>
          <w:color w:val="auto"/>
          <w:sz w:val="23"/>
          <w:szCs w:val="23"/>
        </w:rPr>
        <w:t xml:space="preserve">Child and Family Social Work, 13 (1): 41 – 51. </w:t>
      </w:r>
    </w:p>
    <w:p w:rsidR="002B50B2" w:rsidRDefault="002B50B2" w:rsidP="002B50B2">
      <w:pPr>
        <w:pStyle w:val="Default"/>
        <w:rPr>
          <w:color w:val="auto"/>
          <w:sz w:val="23"/>
          <w:szCs w:val="23"/>
        </w:rPr>
      </w:pPr>
      <w:r>
        <w:rPr>
          <w:color w:val="auto"/>
          <w:sz w:val="23"/>
          <w:szCs w:val="23"/>
        </w:rPr>
        <w:t xml:space="preserve">Forrester, D. (2004) Social work assessments with parents who misuse drugs or alcohol. In: Phillips, R. (ed.) </w:t>
      </w:r>
      <w:r>
        <w:rPr>
          <w:b/>
          <w:bCs/>
          <w:color w:val="auto"/>
          <w:sz w:val="23"/>
          <w:szCs w:val="23"/>
        </w:rPr>
        <w:t>Children exposed to parental substance misuse: implications for family placement</w:t>
      </w:r>
      <w:r>
        <w:rPr>
          <w:color w:val="auto"/>
          <w:sz w:val="23"/>
          <w:szCs w:val="23"/>
        </w:rPr>
        <w:t xml:space="preserve">. London: British Association for Adoption and Fostering (BAAF). </w:t>
      </w:r>
    </w:p>
    <w:p w:rsidR="002B50B2" w:rsidRDefault="002B50B2" w:rsidP="002B50B2">
      <w:pPr>
        <w:pStyle w:val="Default"/>
        <w:rPr>
          <w:color w:val="auto"/>
          <w:sz w:val="23"/>
          <w:szCs w:val="23"/>
        </w:rPr>
      </w:pPr>
      <w:r>
        <w:rPr>
          <w:color w:val="auto"/>
          <w:sz w:val="23"/>
          <w:szCs w:val="23"/>
        </w:rPr>
        <w:t xml:space="preserve">Gorin, S. (2004) </w:t>
      </w:r>
      <w:r>
        <w:rPr>
          <w:b/>
          <w:bCs/>
          <w:color w:val="auto"/>
          <w:sz w:val="23"/>
          <w:szCs w:val="23"/>
        </w:rPr>
        <w:t>Understanding what children say: children's experiences of domestic violence, parental substance misuse and parental health problems</w:t>
      </w:r>
      <w:r>
        <w:rPr>
          <w:color w:val="auto"/>
          <w:sz w:val="23"/>
          <w:szCs w:val="23"/>
        </w:rPr>
        <w:t xml:space="preserve">. London: National Children's Bureau and NSPCC. </w:t>
      </w:r>
    </w:p>
    <w:p w:rsidR="002B50B2" w:rsidRDefault="002B50B2" w:rsidP="002B50B2">
      <w:pPr>
        <w:pStyle w:val="Default"/>
        <w:rPr>
          <w:color w:val="auto"/>
          <w:sz w:val="23"/>
          <w:szCs w:val="23"/>
        </w:rPr>
      </w:pPr>
      <w:r>
        <w:rPr>
          <w:color w:val="auto"/>
          <w:sz w:val="23"/>
          <w:szCs w:val="23"/>
        </w:rPr>
        <w:t xml:space="preserve">Hart, D. and Powell, J. (2006) </w:t>
      </w:r>
      <w:r>
        <w:rPr>
          <w:b/>
          <w:bCs/>
          <w:color w:val="auto"/>
          <w:sz w:val="23"/>
          <w:szCs w:val="23"/>
        </w:rPr>
        <w:t>Adult drug problems, children's needs: assessing the impact of parental drug use: a toolkit for practitioners</w:t>
      </w:r>
      <w:r>
        <w:rPr>
          <w:color w:val="auto"/>
          <w:sz w:val="23"/>
          <w:szCs w:val="23"/>
        </w:rPr>
        <w:t xml:space="preserve">. London: National Children's Bureau. </w:t>
      </w:r>
    </w:p>
    <w:p w:rsidR="002B50B2" w:rsidRDefault="002B50B2" w:rsidP="002B50B2">
      <w:pPr>
        <w:pStyle w:val="Default"/>
        <w:rPr>
          <w:color w:val="auto"/>
          <w:sz w:val="23"/>
          <w:szCs w:val="23"/>
        </w:rPr>
      </w:pPr>
      <w:r>
        <w:rPr>
          <w:color w:val="auto"/>
          <w:sz w:val="23"/>
          <w:szCs w:val="23"/>
        </w:rPr>
        <w:t xml:space="preserve">Hester, M. (2006) Asking about domestic violence: implications for practice In: Humphreys, C. and Stanley, N. (eds.) </w:t>
      </w:r>
      <w:r>
        <w:rPr>
          <w:b/>
          <w:bCs/>
          <w:color w:val="auto"/>
          <w:sz w:val="23"/>
          <w:szCs w:val="23"/>
        </w:rPr>
        <w:t>Domestic violence and child protection: directions for good practice</w:t>
      </w:r>
      <w:r>
        <w:rPr>
          <w:color w:val="auto"/>
          <w:sz w:val="23"/>
          <w:szCs w:val="23"/>
        </w:rPr>
        <w:t xml:space="preserve">. London: Jessica Kingsley Publishers. </w:t>
      </w:r>
    </w:p>
    <w:p w:rsidR="002B50B2" w:rsidRDefault="002B50B2" w:rsidP="002B50B2">
      <w:pPr>
        <w:pStyle w:val="Default"/>
        <w:rPr>
          <w:color w:val="auto"/>
          <w:sz w:val="23"/>
          <w:szCs w:val="23"/>
        </w:rPr>
      </w:pPr>
      <w:r>
        <w:rPr>
          <w:color w:val="auto"/>
          <w:sz w:val="23"/>
          <w:szCs w:val="23"/>
        </w:rPr>
        <w:t xml:space="preserve">Hester, M., Pearson, C. and Harwin, N. (2006) </w:t>
      </w:r>
      <w:r>
        <w:rPr>
          <w:b/>
          <w:bCs/>
          <w:color w:val="auto"/>
          <w:sz w:val="23"/>
          <w:szCs w:val="23"/>
        </w:rPr>
        <w:t>Making an impact: a reader</w:t>
      </w:r>
      <w:r>
        <w:rPr>
          <w:color w:val="auto"/>
          <w:sz w:val="23"/>
          <w:szCs w:val="23"/>
        </w:rPr>
        <w:t xml:space="preserve">. 2nd edition. London: Jessica Kingsley Publishers. </w:t>
      </w:r>
    </w:p>
    <w:p w:rsidR="002B50B2" w:rsidRDefault="002B50B2" w:rsidP="002B50B2">
      <w:pPr>
        <w:pStyle w:val="Default"/>
        <w:rPr>
          <w:color w:val="auto"/>
          <w:sz w:val="23"/>
          <w:szCs w:val="23"/>
        </w:rPr>
      </w:pPr>
      <w:r>
        <w:rPr>
          <w:color w:val="auto"/>
          <w:sz w:val="23"/>
          <w:szCs w:val="23"/>
        </w:rPr>
        <w:t xml:space="preserve">HM Government (2015) </w:t>
      </w:r>
      <w:r>
        <w:rPr>
          <w:b/>
          <w:bCs/>
          <w:color w:val="auto"/>
          <w:sz w:val="23"/>
          <w:szCs w:val="23"/>
        </w:rPr>
        <w:t>Information sharing: advice for practitioners providing safeguarding services to children, young people, parents and carers (PDF)</w:t>
      </w:r>
      <w:r>
        <w:rPr>
          <w:color w:val="auto"/>
          <w:sz w:val="23"/>
          <w:szCs w:val="23"/>
        </w:rPr>
        <w:t xml:space="preserve">. London: Department for Education (DfE). </w:t>
      </w:r>
    </w:p>
    <w:p w:rsidR="009F1093" w:rsidRDefault="002B50B2" w:rsidP="009F1093">
      <w:pPr>
        <w:pStyle w:val="Default"/>
        <w:rPr>
          <w:rFonts w:ascii="Cambria" w:hAnsi="Cambria" w:cs="Cambria"/>
          <w:b/>
          <w:bCs/>
          <w:color w:val="auto"/>
          <w:sz w:val="23"/>
          <w:szCs w:val="23"/>
        </w:rPr>
      </w:pPr>
      <w:r>
        <w:rPr>
          <w:color w:val="auto"/>
          <w:sz w:val="23"/>
          <w:szCs w:val="23"/>
        </w:rPr>
        <w:t xml:space="preserve">HM Government (2015) </w:t>
      </w:r>
      <w:r>
        <w:rPr>
          <w:b/>
          <w:bCs/>
          <w:color w:val="auto"/>
          <w:sz w:val="23"/>
          <w:szCs w:val="23"/>
        </w:rPr>
        <w:t>Working together to safeguard children: a guide to interagency working (PDF)</w:t>
      </w:r>
      <w:r>
        <w:rPr>
          <w:color w:val="auto"/>
          <w:sz w:val="23"/>
          <w:szCs w:val="23"/>
        </w:rPr>
        <w:t xml:space="preserve">. [London]: Department for Education (DfE). </w:t>
      </w:r>
      <w:r>
        <w:rPr>
          <w:rFonts w:ascii="Cambria" w:hAnsi="Cambria" w:cs="Cambria"/>
          <w:color w:val="auto"/>
          <w:sz w:val="23"/>
          <w:szCs w:val="23"/>
        </w:rPr>
        <w:t xml:space="preserve">Page </w:t>
      </w:r>
      <w:r>
        <w:rPr>
          <w:rFonts w:ascii="Cambria" w:hAnsi="Cambria" w:cs="Cambria"/>
          <w:b/>
          <w:bCs/>
          <w:color w:val="auto"/>
          <w:sz w:val="23"/>
          <w:szCs w:val="23"/>
        </w:rPr>
        <w:t xml:space="preserve">12 </w:t>
      </w:r>
      <w:r>
        <w:rPr>
          <w:rFonts w:ascii="Cambria" w:hAnsi="Cambria" w:cs="Cambria"/>
          <w:color w:val="auto"/>
          <w:sz w:val="23"/>
          <w:szCs w:val="23"/>
        </w:rPr>
        <w:t xml:space="preserve">of </w:t>
      </w:r>
      <w:r>
        <w:rPr>
          <w:rFonts w:ascii="Cambria" w:hAnsi="Cambria" w:cs="Cambria"/>
          <w:b/>
          <w:bCs/>
          <w:color w:val="auto"/>
          <w:sz w:val="23"/>
          <w:szCs w:val="23"/>
        </w:rPr>
        <w:t xml:space="preserve">15 </w:t>
      </w:r>
    </w:p>
    <w:p w:rsidR="002B50B2" w:rsidRDefault="002B50B2" w:rsidP="009F1093">
      <w:pPr>
        <w:pStyle w:val="Default"/>
        <w:rPr>
          <w:color w:val="auto"/>
          <w:sz w:val="23"/>
          <w:szCs w:val="23"/>
        </w:rPr>
      </w:pPr>
      <w:r>
        <w:rPr>
          <w:color w:val="auto"/>
          <w:sz w:val="23"/>
          <w:szCs w:val="23"/>
        </w:rPr>
        <w:t xml:space="preserve">Jones, D. (2010) Assessment of parenting. In: Horwath, J. (ed.) </w:t>
      </w:r>
      <w:r>
        <w:rPr>
          <w:b/>
          <w:bCs/>
          <w:color w:val="auto"/>
          <w:sz w:val="23"/>
          <w:szCs w:val="23"/>
        </w:rPr>
        <w:t>The child's world: the comprehensive guide to assessing children in need</w:t>
      </w:r>
      <w:r>
        <w:rPr>
          <w:color w:val="auto"/>
          <w:sz w:val="23"/>
          <w:szCs w:val="23"/>
        </w:rPr>
        <w:t xml:space="preserve">. London: Jessica Kingsley. </w:t>
      </w:r>
    </w:p>
    <w:p w:rsidR="002B50B2" w:rsidRDefault="002B50B2" w:rsidP="002B50B2">
      <w:pPr>
        <w:pStyle w:val="Default"/>
        <w:rPr>
          <w:color w:val="auto"/>
          <w:sz w:val="23"/>
          <w:szCs w:val="23"/>
        </w:rPr>
      </w:pPr>
      <w:r>
        <w:rPr>
          <w:color w:val="auto"/>
          <w:sz w:val="23"/>
          <w:szCs w:val="23"/>
        </w:rPr>
        <w:t xml:space="preserve">Kellett, J. and Apps, J. (2009) </w:t>
      </w:r>
      <w:r>
        <w:rPr>
          <w:b/>
          <w:bCs/>
          <w:color w:val="auto"/>
          <w:sz w:val="23"/>
          <w:szCs w:val="23"/>
        </w:rPr>
        <w:t>Assessments of parenting and parenting support need: a study of four professional groups (PDF)</w:t>
      </w:r>
      <w:r>
        <w:rPr>
          <w:color w:val="auto"/>
          <w:sz w:val="23"/>
          <w:szCs w:val="23"/>
        </w:rPr>
        <w:t xml:space="preserve">. York: Joseph Rowntree Foundation. </w:t>
      </w:r>
    </w:p>
    <w:p w:rsidR="002B50B2" w:rsidRDefault="002B50B2" w:rsidP="002B50B2">
      <w:pPr>
        <w:pStyle w:val="Default"/>
        <w:rPr>
          <w:color w:val="auto"/>
          <w:sz w:val="23"/>
          <w:szCs w:val="23"/>
        </w:rPr>
      </w:pPr>
      <w:r>
        <w:rPr>
          <w:color w:val="auto"/>
          <w:sz w:val="23"/>
          <w:szCs w:val="23"/>
        </w:rPr>
        <w:t xml:space="preserve">Kurz, D. (1996) Doing parenting: mothers, carework, and policy. In: Arendell, T. (ed.) </w:t>
      </w:r>
      <w:r>
        <w:rPr>
          <w:b/>
          <w:bCs/>
          <w:color w:val="auto"/>
          <w:sz w:val="23"/>
          <w:szCs w:val="23"/>
        </w:rPr>
        <w:t>Contemporary parenting: challenges and issues</w:t>
      </w:r>
      <w:r>
        <w:rPr>
          <w:color w:val="auto"/>
          <w:sz w:val="23"/>
          <w:szCs w:val="23"/>
        </w:rPr>
        <w:t xml:space="preserve">. Thousand Oaks, Calif.: Sage. </w:t>
      </w:r>
    </w:p>
    <w:p w:rsidR="002B50B2" w:rsidRDefault="002B50B2" w:rsidP="002B50B2">
      <w:pPr>
        <w:pStyle w:val="Default"/>
        <w:rPr>
          <w:color w:val="auto"/>
          <w:sz w:val="23"/>
          <w:szCs w:val="23"/>
        </w:rPr>
      </w:pPr>
      <w:r>
        <w:rPr>
          <w:color w:val="auto"/>
          <w:sz w:val="23"/>
          <w:szCs w:val="23"/>
        </w:rPr>
        <w:t xml:space="preserve">Laming, Lord (2003) </w:t>
      </w:r>
      <w:r>
        <w:rPr>
          <w:b/>
          <w:bCs/>
          <w:color w:val="auto"/>
          <w:sz w:val="23"/>
          <w:szCs w:val="23"/>
        </w:rPr>
        <w:t>The Victoria Climbie inquiry: report of an inquiry by Lord Laming (PDF)</w:t>
      </w:r>
      <w:r>
        <w:rPr>
          <w:color w:val="auto"/>
          <w:sz w:val="23"/>
          <w:szCs w:val="23"/>
        </w:rPr>
        <w:t xml:space="preserve">. Norwich: The Stationery Office (TSO). </w:t>
      </w:r>
    </w:p>
    <w:p w:rsidR="002B50B2" w:rsidRDefault="002B50B2" w:rsidP="002B50B2">
      <w:pPr>
        <w:pStyle w:val="Default"/>
        <w:rPr>
          <w:color w:val="auto"/>
          <w:sz w:val="23"/>
          <w:szCs w:val="23"/>
        </w:rPr>
      </w:pPr>
      <w:r>
        <w:rPr>
          <w:color w:val="auto"/>
          <w:sz w:val="23"/>
          <w:szCs w:val="23"/>
        </w:rPr>
        <w:t xml:space="preserve">McGaw, S. and Newman, T. (2005) </w:t>
      </w:r>
      <w:r>
        <w:rPr>
          <w:b/>
          <w:bCs/>
          <w:color w:val="auto"/>
          <w:sz w:val="23"/>
          <w:szCs w:val="23"/>
        </w:rPr>
        <w:t xml:space="preserve">What works for parents with learning disabilities? </w:t>
      </w:r>
      <w:r>
        <w:rPr>
          <w:color w:val="auto"/>
          <w:sz w:val="23"/>
          <w:szCs w:val="23"/>
        </w:rPr>
        <w:t xml:space="preserve">Ilford: Barnardos. </w:t>
      </w:r>
    </w:p>
    <w:p w:rsidR="002B50B2" w:rsidRDefault="002B50B2" w:rsidP="002B50B2">
      <w:pPr>
        <w:pStyle w:val="Default"/>
        <w:rPr>
          <w:color w:val="auto"/>
          <w:sz w:val="23"/>
          <w:szCs w:val="23"/>
        </w:rPr>
      </w:pPr>
      <w:r>
        <w:rPr>
          <w:color w:val="auto"/>
          <w:sz w:val="23"/>
          <w:szCs w:val="23"/>
        </w:rPr>
        <w:t xml:space="preserve">Murray, L. et al (2010) Effects of postnatal depression on mother-infant interactions and child development. In: Bremner, J. G and Wachs, T. D.(eds) </w:t>
      </w:r>
      <w:r>
        <w:rPr>
          <w:b/>
          <w:bCs/>
          <w:color w:val="auto"/>
          <w:sz w:val="23"/>
          <w:szCs w:val="23"/>
        </w:rPr>
        <w:t>The Wiley-Blackwell handbook of infant development: volume 2: applied and policy issues</w:t>
      </w:r>
      <w:r>
        <w:rPr>
          <w:color w:val="auto"/>
          <w:sz w:val="23"/>
          <w:szCs w:val="23"/>
        </w:rPr>
        <w:t xml:space="preserve">. Chichester: Blackwell. </w:t>
      </w:r>
    </w:p>
    <w:p w:rsidR="002B50B2" w:rsidRDefault="002B50B2" w:rsidP="002B50B2">
      <w:pPr>
        <w:pStyle w:val="Default"/>
        <w:rPr>
          <w:color w:val="auto"/>
          <w:sz w:val="23"/>
          <w:szCs w:val="23"/>
        </w:rPr>
      </w:pPr>
      <w:r>
        <w:rPr>
          <w:color w:val="auto"/>
          <w:sz w:val="23"/>
          <w:szCs w:val="23"/>
        </w:rPr>
        <w:t xml:space="preserve">Peterborough Safeguarding Children Board (2012) </w:t>
      </w:r>
      <w:r>
        <w:rPr>
          <w:b/>
          <w:bCs/>
          <w:color w:val="auto"/>
          <w:sz w:val="23"/>
          <w:szCs w:val="23"/>
        </w:rPr>
        <w:t>Chapter F: practice guidance: working with hostile, non-compliant clients and those who use disguised compliance within the context of safeguarding children</w:t>
      </w:r>
      <w:r>
        <w:rPr>
          <w:color w:val="auto"/>
          <w:sz w:val="23"/>
          <w:szCs w:val="23"/>
        </w:rPr>
        <w:t xml:space="preserve">. In: </w:t>
      </w:r>
      <w:r>
        <w:rPr>
          <w:b/>
          <w:bCs/>
          <w:color w:val="auto"/>
          <w:sz w:val="23"/>
          <w:szCs w:val="23"/>
        </w:rPr>
        <w:t>Peterborough Safeguarding Children Board (2014) Peterborough Safeguarding Children Board procedures manual</w:t>
      </w:r>
      <w:r>
        <w:rPr>
          <w:color w:val="auto"/>
          <w:sz w:val="23"/>
          <w:szCs w:val="23"/>
        </w:rPr>
        <w:t xml:space="preserve">. Coventry: Tri.x. </w:t>
      </w:r>
    </w:p>
    <w:p w:rsidR="002B50B2" w:rsidRDefault="002B50B2" w:rsidP="002B50B2">
      <w:pPr>
        <w:pStyle w:val="Default"/>
        <w:rPr>
          <w:color w:val="auto"/>
          <w:sz w:val="23"/>
          <w:szCs w:val="23"/>
        </w:rPr>
      </w:pPr>
      <w:r>
        <w:rPr>
          <w:color w:val="auto"/>
          <w:sz w:val="23"/>
          <w:szCs w:val="23"/>
        </w:rPr>
        <w:t xml:space="preserve">Radford, L., Blacklock, N. and Iwi, K. (2006) Domestic abuse risk assessment and safety planning in child protection – assessing perpetrators. In: Humphreys, C. and Stanley, N. (eds.) </w:t>
      </w:r>
      <w:r>
        <w:rPr>
          <w:b/>
          <w:bCs/>
          <w:color w:val="auto"/>
          <w:sz w:val="23"/>
          <w:szCs w:val="23"/>
        </w:rPr>
        <w:t>Domestic violence and child protection: directions for good practice</w:t>
      </w:r>
      <w:r>
        <w:rPr>
          <w:color w:val="auto"/>
          <w:sz w:val="23"/>
          <w:szCs w:val="23"/>
        </w:rPr>
        <w:t xml:space="preserve">. London: Jessica Kingsley Publishers. </w:t>
      </w:r>
    </w:p>
    <w:p w:rsidR="002B50B2" w:rsidRDefault="002B50B2" w:rsidP="002B50B2">
      <w:pPr>
        <w:pStyle w:val="Default"/>
        <w:rPr>
          <w:color w:val="auto"/>
          <w:sz w:val="23"/>
          <w:szCs w:val="23"/>
        </w:rPr>
      </w:pPr>
      <w:r>
        <w:rPr>
          <w:color w:val="auto"/>
          <w:sz w:val="23"/>
          <w:szCs w:val="23"/>
        </w:rPr>
        <w:t xml:space="preserve">Reder, P. and Duncan, S. (1999) </w:t>
      </w:r>
      <w:r>
        <w:rPr>
          <w:b/>
          <w:bCs/>
          <w:color w:val="auto"/>
          <w:sz w:val="23"/>
          <w:szCs w:val="23"/>
        </w:rPr>
        <w:t>Lost innocents</w:t>
      </w:r>
      <w:r>
        <w:rPr>
          <w:color w:val="auto"/>
          <w:sz w:val="23"/>
          <w:szCs w:val="23"/>
        </w:rPr>
        <w:t xml:space="preserve">. London: Routledge. </w:t>
      </w:r>
    </w:p>
    <w:p w:rsidR="002B50B2" w:rsidRDefault="002B50B2" w:rsidP="002B50B2">
      <w:pPr>
        <w:pStyle w:val="Default"/>
        <w:rPr>
          <w:color w:val="auto"/>
          <w:sz w:val="23"/>
          <w:szCs w:val="23"/>
        </w:rPr>
      </w:pPr>
      <w:r>
        <w:rPr>
          <w:color w:val="auto"/>
          <w:sz w:val="23"/>
          <w:szCs w:val="23"/>
        </w:rPr>
        <w:t xml:space="preserve">Reder, P., Duncan, S. and Gray, M. (1993) </w:t>
      </w:r>
      <w:r>
        <w:rPr>
          <w:b/>
          <w:bCs/>
          <w:color w:val="auto"/>
          <w:sz w:val="23"/>
          <w:szCs w:val="23"/>
        </w:rPr>
        <w:t>Beyond blame: child abuse tragedies revisited</w:t>
      </w:r>
      <w:r>
        <w:rPr>
          <w:color w:val="auto"/>
          <w:sz w:val="23"/>
          <w:szCs w:val="23"/>
        </w:rPr>
        <w:t xml:space="preserve">. London: Routledge. </w:t>
      </w:r>
    </w:p>
    <w:p w:rsidR="002B50B2" w:rsidRDefault="002B50B2" w:rsidP="002B50B2">
      <w:pPr>
        <w:pStyle w:val="Default"/>
        <w:rPr>
          <w:color w:val="auto"/>
          <w:sz w:val="23"/>
          <w:szCs w:val="23"/>
        </w:rPr>
      </w:pPr>
      <w:r>
        <w:rPr>
          <w:color w:val="auto"/>
          <w:sz w:val="23"/>
          <w:szCs w:val="23"/>
        </w:rPr>
        <w:t xml:space="preserve">Rose, W. and Barnes, J. (2008) </w:t>
      </w:r>
      <w:r>
        <w:rPr>
          <w:b/>
          <w:bCs/>
          <w:color w:val="auto"/>
          <w:sz w:val="23"/>
          <w:szCs w:val="23"/>
        </w:rPr>
        <w:t>Improving safeguarding practice: study of serious case reviews 2001-2003 (PDF)</w:t>
      </w:r>
      <w:r>
        <w:rPr>
          <w:color w:val="auto"/>
          <w:sz w:val="23"/>
          <w:szCs w:val="23"/>
        </w:rPr>
        <w:t xml:space="preserve">. London: Department for Children, Schools and Families (DCSF). </w:t>
      </w:r>
    </w:p>
    <w:p w:rsidR="009F1093" w:rsidRDefault="002B50B2" w:rsidP="009F1093">
      <w:pPr>
        <w:pStyle w:val="Default"/>
        <w:rPr>
          <w:rFonts w:ascii="Cambria" w:hAnsi="Cambria" w:cs="Cambria"/>
          <w:b/>
          <w:bCs/>
          <w:color w:val="auto"/>
          <w:sz w:val="23"/>
          <w:szCs w:val="23"/>
        </w:rPr>
      </w:pPr>
      <w:r>
        <w:rPr>
          <w:color w:val="auto"/>
          <w:sz w:val="23"/>
          <w:szCs w:val="23"/>
        </w:rPr>
        <w:t xml:space="preserve">Scottish Government (2010) </w:t>
      </w:r>
      <w:r>
        <w:rPr>
          <w:b/>
          <w:bCs/>
          <w:color w:val="auto"/>
          <w:sz w:val="23"/>
          <w:szCs w:val="23"/>
        </w:rPr>
        <w:t>National guidance for child protection in Scotland 2010 (PDF)</w:t>
      </w:r>
      <w:r>
        <w:rPr>
          <w:color w:val="auto"/>
          <w:sz w:val="23"/>
          <w:szCs w:val="23"/>
        </w:rPr>
        <w:t xml:space="preserve">. Edinburgh: Scottish Government. </w:t>
      </w:r>
      <w:r>
        <w:rPr>
          <w:rFonts w:ascii="Cambria" w:hAnsi="Cambria" w:cs="Cambria"/>
          <w:color w:val="auto"/>
          <w:sz w:val="23"/>
          <w:szCs w:val="23"/>
        </w:rPr>
        <w:t xml:space="preserve">Page </w:t>
      </w:r>
      <w:r>
        <w:rPr>
          <w:rFonts w:ascii="Cambria" w:hAnsi="Cambria" w:cs="Cambria"/>
          <w:b/>
          <w:bCs/>
          <w:color w:val="auto"/>
          <w:sz w:val="23"/>
          <w:szCs w:val="23"/>
        </w:rPr>
        <w:t xml:space="preserve">13 </w:t>
      </w:r>
      <w:r>
        <w:rPr>
          <w:rFonts w:ascii="Cambria" w:hAnsi="Cambria" w:cs="Cambria"/>
          <w:color w:val="auto"/>
          <w:sz w:val="23"/>
          <w:szCs w:val="23"/>
        </w:rPr>
        <w:t xml:space="preserve">of </w:t>
      </w:r>
      <w:r>
        <w:rPr>
          <w:rFonts w:ascii="Cambria" w:hAnsi="Cambria" w:cs="Cambria"/>
          <w:b/>
          <w:bCs/>
          <w:color w:val="auto"/>
          <w:sz w:val="23"/>
          <w:szCs w:val="23"/>
        </w:rPr>
        <w:t xml:space="preserve">15 </w:t>
      </w:r>
    </w:p>
    <w:p w:rsidR="002B50B2" w:rsidRDefault="002B50B2" w:rsidP="009F1093">
      <w:pPr>
        <w:pStyle w:val="Default"/>
        <w:rPr>
          <w:color w:val="auto"/>
          <w:sz w:val="23"/>
          <w:szCs w:val="23"/>
        </w:rPr>
      </w:pPr>
      <w:r>
        <w:rPr>
          <w:color w:val="auto"/>
          <w:sz w:val="23"/>
          <w:szCs w:val="23"/>
        </w:rPr>
        <w:t xml:space="preserve">Social Exclusion Unit (2004) </w:t>
      </w:r>
      <w:r>
        <w:rPr>
          <w:b/>
          <w:bCs/>
          <w:color w:val="auto"/>
          <w:sz w:val="23"/>
          <w:szCs w:val="23"/>
        </w:rPr>
        <w:t>Mental health and social exclusion (PDF)</w:t>
      </w:r>
      <w:r>
        <w:rPr>
          <w:color w:val="auto"/>
          <w:sz w:val="23"/>
          <w:szCs w:val="23"/>
        </w:rPr>
        <w:t xml:space="preserve">. London: Office of the Deputy Prime Minister. </w:t>
      </w:r>
    </w:p>
    <w:p w:rsidR="002B50B2" w:rsidRDefault="002B50B2" w:rsidP="002B50B2">
      <w:pPr>
        <w:pStyle w:val="Default"/>
        <w:rPr>
          <w:color w:val="auto"/>
          <w:sz w:val="23"/>
          <w:szCs w:val="23"/>
        </w:rPr>
      </w:pPr>
      <w:r>
        <w:rPr>
          <w:color w:val="auto"/>
          <w:sz w:val="23"/>
          <w:szCs w:val="23"/>
        </w:rPr>
        <w:t xml:space="preserve">Social Work Inspection Agency (2010) </w:t>
      </w:r>
      <w:r>
        <w:rPr>
          <w:b/>
          <w:bCs/>
          <w:color w:val="auto"/>
          <w:sz w:val="23"/>
          <w:szCs w:val="23"/>
        </w:rPr>
        <w:t>Practice guide: chronologies (PDF)</w:t>
      </w:r>
      <w:r>
        <w:rPr>
          <w:color w:val="auto"/>
          <w:sz w:val="23"/>
          <w:szCs w:val="23"/>
        </w:rPr>
        <w:t xml:space="preserve">. Edinburgh: The Scottish Government. </w:t>
      </w:r>
    </w:p>
    <w:p w:rsidR="002B50B2" w:rsidRDefault="002B50B2" w:rsidP="002B50B2">
      <w:pPr>
        <w:pStyle w:val="Default"/>
        <w:rPr>
          <w:color w:val="auto"/>
          <w:sz w:val="23"/>
          <w:szCs w:val="23"/>
        </w:rPr>
      </w:pPr>
      <w:r>
        <w:rPr>
          <w:color w:val="auto"/>
          <w:sz w:val="23"/>
          <w:szCs w:val="23"/>
        </w:rPr>
        <w:lastRenderedPageBreak/>
        <w:t xml:space="preserve">Stanley, N. (1997) </w:t>
      </w:r>
      <w:r>
        <w:rPr>
          <w:b/>
          <w:bCs/>
          <w:color w:val="auto"/>
          <w:sz w:val="23"/>
          <w:szCs w:val="23"/>
        </w:rPr>
        <w:t>Domestic violence and child abuse: developing social work practice</w:t>
      </w:r>
      <w:r>
        <w:rPr>
          <w:color w:val="auto"/>
          <w:sz w:val="23"/>
          <w:szCs w:val="23"/>
        </w:rPr>
        <w:t xml:space="preserve">. Child and Family Social Work 2 (3): 135-146. </w:t>
      </w:r>
    </w:p>
    <w:p w:rsidR="002B50B2" w:rsidRDefault="002B50B2" w:rsidP="002B50B2">
      <w:pPr>
        <w:pStyle w:val="Default"/>
        <w:rPr>
          <w:color w:val="auto"/>
          <w:sz w:val="23"/>
          <w:szCs w:val="23"/>
        </w:rPr>
      </w:pPr>
      <w:r>
        <w:rPr>
          <w:color w:val="auto"/>
          <w:sz w:val="23"/>
          <w:szCs w:val="23"/>
        </w:rPr>
        <w:t xml:space="preserve">Stanley, N. and Humphreys, C. (2006) Multi-agency and multi-disciplinary work: barriers and opportunities. In: Humphreys, C. and Stanley, N. (eds.) </w:t>
      </w:r>
      <w:r>
        <w:rPr>
          <w:b/>
          <w:bCs/>
          <w:color w:val="auto"/>
          <w:sz w:val="23"/>
          <w:szCs w:val="23"/>
        </w:rPr>
        <w:t>Domestic violence and child protection: directions for good practice</w:t>
      </w:r>
      <w:r>
        <w:rPr>
          <w:color w:val="auto"/>
          <w:sz w:val="23"/>
          <w:szCs w:val="23"/>
        </w:rPr>
        <w:t xml:space="preserve">. London: Jessica Kingsley Publishers. </w:t>
      </w:r>
    </w:p>
    <w:p w:rsidR="009F1093" w:rsidRDefault="002B50B2" w:rsidP="009F1093">
      <w:pPr>
        <w:pStyle w:val="Default"/>
        <w:rPr>
          <w:color w:val="auto"/>
          <w:sz w:val="23"/>
          <w:szCs w:val="23"/>
        </w:rPr>
      </w:pPr>
      <w:r>
        <w:rPr>
          <w:color w:val="auto"/>
          <w:sz w:val="23"/>
          <w:szCs w:val="23"/>
        </w:rPr>
        <w:t xml:space="preserve">Stanley, N., Cleaver, H. and Hart, D. (2010) The impact of domestic violence, parental mental health problems, substance misuse and learning disability on parenting capacity. In: Horwath, J (ed.) </w:t>
      </w:r>
      <w:r>
        <w:rPr>
          <w:b/>
          <w:bCs/>
          <w:color w:val="auto"/>
          <w:sz w:val="23"/>
          <w:szCs w:val="23"/>
        </w:rPr>
        <w:t>The child's world: the comprehensive guide to assessing children in need</w:t>
      </w:r>
      <w:r>
        <w:rPr>
          <w:color w:val="auto"/>
          <w:sz w:val="23"/>
          <w:szCs w:val="23"/>
        </w:rPr>
        <w:t xml:space="preserve">. London: Jessica Kingsley. </w:t>
      </w:r>
    </w:p>
    <w:p w:rsidR="002B50B2" w:rsidRDefault="002B50B2" w:rsidP="009F1093">
      <w:pPr>
        <w:pStyle w:val="Default"/>
        <w:rPr>
          <w:color w:val="auto"/>
        </w:rPr>
      </w:pPr>
      <w:r>
        <w:rPr>
          <w:color w:val="auto"/>
          <w:sz w:val="23"/>
          <w:szCs w:val="23"/>
        </w:rPr>
        <w:t xml:space="preserve">Velleman, R. and Templeton, L. (2006) Reaching out: promoting resilience in the children substance misusers. In: Harbin, F. and Murphy, M. (eds.) </w:t>
      </w:r>
      <w:r>
        <w:rPr>
          <w:b/>
          <w:bCs/>
          <w:color w:val="auto"/>
          <w:sz w:val="23"/>
          <w:szCs w:val="23"/>
        </w:rPr>
        <w:t>Secret lives: growing with substance</w:t>
      </w:r>
      <w:r>
        <w:rPr>
          <w:color w:val="auto"/>
          <w:sz w:val="23"/>
          <w:szCs w:val="23"/>
        </w:rPr>
        <w:t>. Lyme Regis: Russell House Publishing.</w:t>
      </w:r>
    </w:p>
    <w:p w:rsidR="00340685" w:rsidRPr="00340685" w:rsidRDefault="00340685" w:rsidP="002B50B2">
      <w:pPr>
        <w:pStyle w:val="Heading2"/>
        <w:spacing w:line="276" w:lineRule="auto"/>
        <w:jc w:val="both"/>
      </w:pPr>
    </w:p>
    <w:sectPr w:rsidR="00340685" w:rsidRPr="00340685" w:rsidSect="00340685">
      <w:footerReference w:type="even" r:id="rId11"/>
      <w:footerReference w:type="default" r:id="rId12"/>
      <w:headerReference w:type="first" r:id="rId13"/>
      <w:footerReference w:type="first" r:id="rId14"/>
      <w:pgSz w:w="11900" w:h="16840"/>
      <w:pgMar w:top="1134" w:right="1134" w:bottom="1418" w:left="1134" w:header="567" w:footer="567"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FAD" w:rsidRDefault="00402FAD">
      <w:pPr>
        <w:spacing w:before="0"/>
      </w:pPr>
      <w:r>
        <w:separator/>
      </w:r>
    </w:p>
  </w:endnote>
  <w:endnote w:type="continuationSeparator" w:id="0">
    <w:p w:rsidR="00402FAD" w:rsidRDefault="00402FA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FAD" w:rsidRDefault="00402FAD" w:rsidP="007A39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02FAD" w:rsidRDefault="00402FAD" w:rsidP="007A39E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FAD" w:rsidRPr="007A39EA" w:rsidRDefault="00402FAD" w:rsidP="007A39EA">
    <w:pPr>
      <w:pStyle w:val="Footer"/>
      <w:framePr w:wrap="around" w:vAnchor="text" w:hAnchor="margin" w:xAlign="right" w:y="1"/>
      <w:rPr>
        <w:rStyle w:val="PageNumber"/>
      </w:rPr>
    </w:pPr>
    <w:r w:rsidRPr="007A39EA">
      <w:rPr>
        <w:rStyle w:val="PageNumber"/>
        <w:sz w:val="20"/>
      </w:rPr>
      <w:fldChar w:fldCharType="begin"/>
    </w:r>
    <w:r w:rsidRPr="007A39EA">
      <w:rPr>
        <w:rStyle w:val="PageNumber"/>
        <w:sz w:val="20"/>
      </w:rPr>
      <w:instrText xml:space="preserve">PAGE  </w:instrText>
    </w:r>
    <w:r w:rsidRPr="007A39EA">
      <w:rPr>
        <w:rStyle w:val="PageNumber"/>
        <w:sz w:val="20"/>
      </w:rPr>
      <w:fldChar w:fldCharType="separate"/>
    </w:r>
    <w:r w:rsidR="00296208">
      <w:rPr>
        <w:rStyle w:val="PageNumber"/>
        <w:noProof/>
        <w:sz w:val="20"/>
      </w:rPr>
      <w:t>3</w:t>
    </w:r>
    <w:r w:rsidRPr="007A39EA">
      <w:rPr>
        <w:rStyle w:val="PageNumber"/>
        <w:sz w:val="20"/>
      </w:rPr>
      <w:fldChar w:fldCharType="end"/>
    </w:r>
  </w:p>
  <w:p w:rsidR="00402FAD" w:rsidRPr="007A39EA" w:rsidRDefault="00402FAD" w:rsidP="007A39EA">
    <w:pPr>
      <w:pStyle w:val="Header"/>
      <w:ind w:right="360"/>
    </w:pPr>
    <w:r w:rsidRPr="007A39EA">
      <w:rPr>
        <w:sz w:val="20"/>
      </w:rPr>
      <w:t>Best Practice Guide</w:t>
    </w:r>
    <w:r w:rsidRPr="007A39EA">
      <w:t xml:space="preserve"> </w:t>
    </w:r>
    <w:r w:rsidR="00F217AB">
      <w:rPr>
        <w:b/>
      </w:rPr>
      <w:t>Parenting Assessments</w:t>
    </w:r>
    <w:r>
      <w:rPr>
        <w: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5F9" w:rsidRPr="007A39EA" w:rsidRDefault="004665F9" w:rsidP="004665F9">
    <w:pPr>
      <w:pStyle w:val="Header"/>
      <w:ind w:right="360"/>
    </w:pPr>
    <w:r w:rsidRPr="007A39EA">
      <w:rPr>
        <w:sz w:val="20"/>
      </w:rPr>
      <w:t>Best Practice Guide</w:t>
    </w:r>
    <w:r w:rsidRPr="007A39EA">
      <w:t xml:space="preserve"> </w:t>
    </w:r>
    <w:r w:rsidR="00F217AB">
      <w:rPr>
        <w:b/>
      </w:rPr>
      <w:t xml:space="preserve"> Parenting Assessments</w:t>
    </w:r>
    <w:r>
      <w:rPr>
        <w:b/>
      </w:rPr>
      <w:tab/>
      <w:t>1</w:t>
    </w:r>
  </w:p>
  <w:p w:rsidR="004665F9" w:rsidRDefault="004665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FAD" w:rsidRDefault="00402FAD">
      <w:pPr>
        <w:spacing w:before="0"/>
      </w:pPr>
      <w:r>
        <w:separator/>
      </w:r>
    </w:p>
  </w:footnote>
  <w:footnote w:type="continuationSeparator" w:id="0">
    <w:p w:rsidR="00402FAD" w:rsidRDefault="00402FAD">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B8A" w:rsidRDefault="00211B8A" w:rsidP="00211B8A">
    <w:pPr>
      <w:pStyle w:val="Header"/>
      <w:ind w:left="720" w:firstLine="4320"/>
    </w:pPr>
    <w:r>
      <w:rPr>
        <w:noProof/>
        <w:lang w:eastAsia="en-GB"/>
      </w:rPr>
      <mc:AlternateContent>
        <mc:Choice Requires="wps">
          <w:drawing>
            <wp:anchor distT="0" distB="0" distL="114300" distR="114300" simplePos="0" relativeHeight="251659264" behindDoc="0" locked="0" layoutInCell="1" allowOverlap="1" wp14:anchorId="05132648" wp14:editId="4AB03C7F">
              <wp:simplePos x="0" y="0"/>
              <wp:positionH relativeFrom="column">
                <wp:posOffset>-323850</wp:posOffset>
              </wp:positionH>
              <wp:positionV relativeFrom="paragraph">
                <wp:posOffset>-95250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11B8A" w:rsidRPr="00211B8A" w:rsidRDefault="00211B8A" w:rsidP="00211B8A">
                          <w:pPr>
                            <w:pStyle w:val="Header"/>
                            <w:jc w:val="center"/>
                            <w:rPr>
                              <w:b/>
                              <w:caps/>
                              <w:noProof/>
                              <w:color w:val="1F497D" w:themeColor="text2"/>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tx2">
                                    <w14:lumMod w14:val="40000"/>
                                    <w14:lumOff w14:val="60000"/>
                                  </w14:schemeClr>
                                </w14:solidFill>
                                <w14:prstDash w14:val="solid"/>
                                <w14:round/>
                              </w14:textOutline>
                            </w:rPr>
                          </w:pPr>
                          <w:r w:rsidRPr="00211B8A">
                            <w:rPr>
                              <w:b/>
                              <w:caps/>
                              <w:noProof/>
                              <w:color w:val="1F497D" w:themeColor="text2"/>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tx2">
                                    <w14:lumMod w14:val="40000"/>
                                    <w14:lumOff w14:val="60000"/>
                                  </w14:schemeClr>
                                </w14:solidFill>
                                <w14:prstDash w14:val="solid"/>
                                <w14:round/>
                              </w14:textOutline>
                            </w:rPr>
                            <w:t>BEST PRACTICE GUIDE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5.5pt;margin-top:-7.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I2RysPdAAAACwEAAA8AAABkcnMvZG93bnJldi54bWxMj8FO&#10;wzAQRO9I/IO1SNxaOymhbYhToQJnSuED3HibhMTrKHbbwNeznOD2RjuanSk2k+vFGcfQetKQzBUI&#10;pMrblmoNH+8vsxWIEA1Z03tCDV8YYFNeXxUmt/5Cb3jex1pwCIXcaGhiHHIpQ9WgM2HuByS+Hf3o&#10;TGQ51tKO5sLhrpepUvfSmZb4Q2MG3DZYdfuT07BS7rXr1ukuuLvvJGu2T/55+NT69mZ6fAARcYp/&#10;Zvitz9Wh5E4HfyIbRK9hliW8JTIkGQM70sWS4cCwXCiQZSH/byh/AAAA//8DAFBLAQItABQABgAI&#10;AAAAIQC2gziS/gAAAOEBAAATAAAAAAAAAAAAAAAAAAAAAABbQ29udGVudF9UeXBlc10ueG1sUEsB&#10;Ai0AFAAGAAgAAAAhADj9If/WAAAAlAEAAAsAAAAAAAAAAAAAAAAALwEAAF9yZWxzLy5yZWxzUEsB&#10;Ai0AFAAGAAgAAAAhAIJ1pgwiAgAAVQQAAA4AAAAAAAAAAAAAAAAALgIAAGRycy9lMm9Eb2MueG1s&#10;UEsBAi0AFAAGAAgAAAAhAI2RysPdAAAACwEAAA8AAAAAAAAAAAAAAAAAfAQAAGRycy9kb3ducmV2&#10;LnhtbFBLBQYAAAAABAAEAPMAAACGBQAAAAA=&#10;" filled="f" stroked="f">
              <v:textbox style="mso-fit-shape-to-text:t">
                <w:txbxContent>
                  <w:p w:rsidR="00211B8A" w:rsidRPr="00211B8A" w:rsidRDefault="00211B8A" w:rsidP="00211B8A">
                    <w:pPr>
                      <w:pStyle w:val="Header"/>
                      <w:jc w:val="center"/>
                      <w:rPr>
                        <w:b/>
                        <w:caps/>
                        <w:noProof/>
                        <w:color w:val="1F497D" w:themeColor="text2"/>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tx2">
                              <w14:lumMod w14:val="40000"/>
                              <w14:lumOff w14:val="60000"/>
                            </w14:schemeClr>
                          </w14:solidFill>
                          <w14:prstDash w14:val="solid"/>
                          <w14:round/>
                        </w14:textOutline>
                      </w:rPr>
                    </w:pPr>
                    <w:r w:rsidRPr="00211B8A">
                      <w:rPr>
                        <w:b/>
                        <w:caps/>
                        <w:noProof/>
                        <w:color w:val="1F497D" w:themeColor="text2"/>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tx2">
                              <w14:lumMod w14:val="40000"/>
                              <w14:lumOff w14:val="60000"/>
                            </w14:schemeClr>
                          </w14:solidFill>
                          <w14:prstDash w14:val="solid"/>
                          <w14:round/>
                        </w14:textOutline>
                      </w:rPr>
                      <w:t>BEST PRACTICE GUIDE</w:t>
                    </w:r>
                  </w:p>
                </w:txbxContent>
              </v:textbox>
            </v:shape>
          </w:pict>
        </mc:Fallback>
      </mc:AlternateContent>
    </w:r>
    <w:r>
      <w:rPr>
        <w:noProof/>
        <w:lang w:eastAsia="en-GB"/>
      </w:rPr>
      <w:drawing>
        <wp:inline distT="0" distB="0" distL="0" distR="0">
          <wp:extent cx="2592689" cy="54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1718" cy="5448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A8A803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44315A"/>
    <w:multiLevelType w:val="hybridMultilevel"/>
    <w:tmpl w:val="F22043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7E2294"/>
    <w:multiLevelType w:val="multilevel"/>
    <w:tmpl w:val="8A486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660723"/>
    <w:multiLevelType w:val="multilevel"/>
    <w:tmpl w:val="D4A0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1657D7"/>
    <w:multiLevelType w:val="hybridMultilevel"/>
    <w:tmpl w:val="2EB8B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AB04C09"/>
    <w:multiLevelType w:val="hybridMultilevel"/>
    <w:tmpl w:val="3A5C4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E400F4F"/>
    <w:multiLevelType w:val="multilevel"/>
    <w:tmpl w:val="133C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ED63C0"/>
    <w:multiLevelType w:val="hybridMultilevel"/>
    <w:tmpl w:val="147E7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8E6F8D"/>
    <w:multiLevelType w:val="multilevel"/>
    <w:tmpl w:val="846C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18774E"/>
    <w:multiLevelType w:val="hybridMultilevel"/>
    <w:tmpl w:val="622A7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DA95DC0"/>
    <w:multiLevelType w:val="hybridMultilevel"/>
    <w:tmpl w:val="98C651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nsid w:val="70DD0BCF"/>
    <w:multiLevelType w:val="hybridMultilevel"/>
    <w:tmpl w:val="48FEC2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74746198"/>
    <w:multiLevelType w:val="hybridMultilevel"/>
    <w:tmpl w:val="7952A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B775404"/>
    <w:multiLevelType w:val="hybridMultilevel"/>
    <w:tmpl w:val="A5146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num>
  <w:num w:numId="4">
    <w:abstractNumId w:val="1"/>
  </w:num>
  <w:num w:numId="5">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6"/>
    <w:lvlOverride w:ilvl="0">
      <w:lvl w:ilvl="0">
        <w:numFmt w:val="bullet"/>
        <w:lvlText w:val=""/>
        <w:lvlJc w:val="left"/>
        <w:pPr>
          <w:tabs>
            <w:tab w:val="num" w:pos="360"/>
          </w:tabs>
          <w:ind w:left="360" w:hanging="360"/>
        </w:pPr>
        <w:rPr>
          <w:rFonts w:ascii="Wingdings" w:hAnsi="Wingdings" w:hint="default"/>
          <w:sz w:val="20"/>
        </w:rPr>
      </w:lvl>
    </w:lvlOverride>
  </w:num>
  <w:num w:numId="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3"/>
  </w:num>
  <w:num w:numId="9">
    <w:abstractNumId w:val="0"/>
  </w:num>
  <w:num w:numId="10">
    <w:abstractNumId w:val="13"/>
  </w:num>
  <w:num w:numId="11">
    <w:abstractNumId w:val="5"/>
  </w:num>
  <w:num w:numId="12">
    <w:abstractNumId w:val="10"/>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03D"/>
    <w:rsid w:val="00012B17"/>
    <w:rsid w:val="00024157"/>
    <w:rsid w:val="00113BEE"/>
    <w:rsid w:val="00126591"/>
    <w:rsid w:val="001274C5"/>
    <w:rsid w:val="0017312C"/>
    <w:rsid w:val="001A2A3F"/>
    <w:rsid w:val="001B6963"/>
    <w:rsid w:val="001D27A8"/>
    <w:rsid w:val="001D4509"/>
    <w:rsid w:val="001D5D43"/>
    <w:rsid w:val="001D766B"/>
    <w:rsid w:val="002055EA"/>
    <w:rsid w:val="00211B8A"/>
    <w:rsid w:val="00225A8E"/>
    <w:rsid w:val="002400D5"/>
    <w:rsid w:val="00247145"/>
    <w:rsid w:val="0025006B"/>
    <w:rsid w:val="00260545"/>
    <w:rsid w:val="002801E0"/>
    <w:rsid w:val="00296208"/>
    <w:rsid w:val="002B50B2"/>
    <w:rsid w:val="002D4894"/>
    <w:rsid w:val="002E452C"/>
    <w:rsid w:val="002F4D84"/>
    <w:rsid w:val="002F7997"/>
    <w:rsid w:val="00313197"/>
    <w:rsid w:val="00321A0C"/>
    <w:rsid w:val="00340685"/>
    <w:rsid w:val="00342BCC"/>
    <w:rsid w:val="0034313A"/>
    <w:rsid w:val="00361A57"/>
    <w:rsid w:val="00361B82"/>
    <w:rsid w:val="00383FC0"/>
    <w:rsid w:val="00402FAD"/>
    <w:rsid w:val="00436CF7"/>
    <w:rsid w:val="00444AA7"/>
    <w:rsid w:val="00460A65"/>
    <w:rsid w:val="00462751"/>
    <w:rsid w:val="004665F9"/>
    <w:rsid w:val="00467882"/>
    <w:rsid w:val="0047607F"/>
    <w:rsid w:val="004830E6"/>
    <w:rsid w:val="004953ED"/>
    <w:rsid w:val="004A0C80"/>
    <w:rsid w:val="004D71DF"/>
    <w:rsid w:val="004E6665"/>
    <w:rsid w:val="004E6C56"/>
    <w:rsid w:val="0051487B"/>
    <w:rsid w:val="005211E9"/>
    <w:rsid w:val="005276A3"/>
    <w:rsid w:val="00546249"/>
    <w:rsid w:val="00556ACC"/>
    <w:rsid w:val="00567FC1"/>
    <w:rsid w:val="005734AB"/>
    <w:rsid w:val="005B2407"/>
    <w:rsid w:val="005C6BF2"/>
    <w:rsid w:val="005E6BD3"/>
    <w:rsid w:val="005F5B54"/>
    <w:rsid w:val="0064374D"/>
    <w:rsid w:val="0066424B"/>
    <w:rsid w:val="00671949"/>
    <w:rsid w:val="006B302C"/>
    <w:rsid w:val="006C2694"/>
    <w:rsid w:val="00716D64"/>
    <w:rsid w:val="00727077"/>
    <w:rsid w:val="00752052"/>
    <w:rsid w:val="00764C19"/>
    <w:rsid w:val="00774B8E"/>
    <w:rsid w:val="0079029C"/>
    <w:rsid w:val="0079707C"/>
    <w:rsid w:val="007A3000"/>
    <w:rsid w:val="007A39EA"/>
    <w:rsid w:val="007B46B9"/>
    <w:rsid w:val="007C6383"/>
    <w:rsid w:val="007C66FC"/>
    <w:rsid w:val="00802B1E"/>
    <w:rsid w:val="00804B0D"/>
    <w:rsid w:val="00816D7E"/>
    <w:rsid w:val="008432CA"/>
    <w:rsid w:val="00852288"/>
    <w:rsid w:val="00854D18"/>
    <w:rsid w:val="008555D0"/>
    <w:rsid w:val="008778BA"/>
    <w:rsid w:val="008E543B"/>
    <w:rsid w:val="008E615F"/>
    <w:rsid w:val="009669C1"/>
    <w:rsid w:val="009B0851"/>
    <w:rsid w:val="009B55F0"/>
    <w:rsid w:val="009B73F6"/>
    <w:rsid w:val="009D02B5"/>
    <w:rsid w:val="009D3E04"/>
    <w:rsid w:val="009E502E"/>
    <w:rsid w:val="009F1093"/>
    <w:rsid w:val="009F18CB"/>
    <w:rsid w:val="009F7F1E"/>
    <w:rsid w:val="00A131D5"/>
    <w:rsid w:val="00A17821"/>
    <w:rsid w:val="00A271D7"/>
    <w:rsid w:val="00A43C65"/>
    <w:rsid w:val="00A448A7"/>
    <w:rsid w:val="00A5174F"/>
    <w:rsid w:val="00A54A2D"/>
    <w:rsid w:val="00A564B2"/>
    <w:rsid w:val="00A6756F"/>
    <w:rsid w:val="00A70215"/>
    <w:rsid w:val="00A764C0"/>
    <w:rsid w:val="00A90502"/>
    <w:rsid w:val="00AA0AD0"/>
    <w:rsid w:val="00AD3133"/>
    <w:rsid w:val="00AE4FC7"/>
    <w:rsid w:val="00B2003D"/>
    <w:rsid w:val="00B32342"/>
    <w:rsid w:val="00B41057"/>
    <w:rsid w:val="00B773F5"/>
    <w:rsid w:val="00B96B2A"/>
    <w:rsid w:val="00BA665C"/>
    <w:rsid w:val="00C14133"/>
    <w:rsid w:val="00C4436D"/>
    <w:rsid w:val="00CB4954"/>
    <w:rsid w:val="00CE3AF5"/>
    <w:rsid w:val="00CF6ACB"/>
    <w:rsid w:val="00DA2E9C"/>
    <w:rsid w:val="00E0196D"/>
    <w:rsid w:val="00E34153"/>
    <w:rsid w:val="00E41D58"/>
    <w:rsid w:val="00E516AF"/>
    <w:rsid w:val="00E661BF"/>
    <w:rsid w:val="00E73470"/>
    <w:rsid w:val="00E84ED7"/>
    <w:rsid w:val="00E86B87"/>
    <w:rsid w:val="00EE55A0"/>
    <w:rsid w:val="00F217AB"/>
    <w:rsid w:val="00F24B84"/>
    <w:rsid w:val="00F91440"/>
    <w:rsid w:val="00F942C9"/>
    <w:rsid w:val="00FB0B12"/>
    <w:rsid w:val="00FC7616"/>
    <w:rsid w:val="00FF17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1B6963"/>
    <w:pPr>
      <w:spacing w:before="120"/>
    </w:pPr>
    <w:rPr>
      <w:rFonts w:ascii="Century Gothic" w:hAnsi="Century Gothic"/>
      <w:color w:val="000000" w:themeColor="text1"/>
      <w:sz w:val="22"/>
    </w:rPr>
  </w:style>
  <w:style w:type="paragraph" w:styleId="Heading1">
    <w:name w:val="heading 1"/>
    <w:basedOn w:val="Normal"/>
    <w:next w:val="Normal"/>
    <w:link w:val="Heading1Char"/>
    <w:uiPriority w:val="9"/>
    <w:qFormat/>
    <w:rsid w:val="001B6963"/>
    <w:pPr>
      <w:spacing w:before="480"/>
      <w:outlineLvl w:val="0"/>
    </w:pPr>
    <w:rPr>
      <w:b/>
      <w:sz w:val="36"/>
    </w:rPr>
  </w:style>
  <w:style w:type="paragraph" w:styleId="Heading2">
    <w:name w:val="heading 2"/>
    <w:basedOn w:val="Normal"/>
    <w:next w:val="Normal"/>
    <w:link w:val="Heading2Char"/>
    <w:rsid w:val="00247145"/>
    <w:pPr>
      <w:spacing w:before="360"/>
      <w:outlineLvl w:val="1"/>
    </w:pPr>
    <w:rPr>
      <w:b/>
      <w:color w:val="30A686"/>
      <w:sz w:val="28"/>
    </w:rPr>
  </w:style>
  <w:style w:type="paragraph" w:styleId="Heading3">
    <w:name w:val="heading 3"/>
    <w:basedOn w:val="Normal"/>
    <w:next w:val="Normal"/>
    <w:link w:val="Heading3Char"/>
    <w:rsid w:val="00247145"/>
    <w:pPr>
      <w:spacing w:before="240"/>
      <w:outlineLvl w:val="2"/>
    </w:pPr>
    <w:rPr>
      <w:color w:val="30A68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39EA"/>
    <w:pPr>
      <w:tabs>
        <w:tab w:val="center" w:pos="4320"/>
        <w:tab w:val="right" w:pos="8640"/>
      </w:tabs>
    </w:pPr>
  </w:style>
  <w:style w:type="character" w:customStyle="1" w:styleId="HeaderChar">
    <w:name w:val="Header Char"/>
    <w:basedOn w:val="DefaultParagraphFont"/>
    <w:link w:val="Header"/>
    <w:uiPriority w:val="99"/>
    <w:rsid w:val="007A39EA"/>
  </w:style>
  <w:style w:type="paragraph" w:styleId="Footer">
    <w:name w:val="footer"/>
    <w:basedOn w:val="Normal"/>
    <w:link w:val="FooterChar"/>
    <w:uiPriority w:val="99"/>
    <w:unhideWhenUsed/>
    <w:rsid w:val="007A39EA"/>
    <w:pPr>
      <w:tabs>
        <w:tab w:val="center" w:pos="4320"/>
        <w:tab w:val="right" w:pos="8640"/>
      </w:tabs>
    </w:pPr>
  </w:style>
  <w:style w:type="character" w:customStyle="1" w:styleId="FooterChar">
    <w:name w:val="Footer Char"/>
    <w:basedOn w:val="DefaultParagraphFont"/>
    <w:link w:val="Footer"/>
    <w:uiPriority w:val="99"/>
    <w:rsid w:val="007A39EA"/>
  </w:style>
  <w:style w:type="character" w:styleId="PageNumber">
    <w:name w:val="page number"/>
    <w:basedOn w:val="DefaultParagraphFont"/>
    <w:uiPriority w:val="99"/>
    <w:semiHidden/>
    <w:unhideWhenUsed/>
    <w:rsid w:val="007A39EA"/>
  </w:style>
  <w:style w:type="character" w:customStyle="1" w:styleId="Heading1Char">
    <w:name w:val="Heading 1 Char"/>
    <w:basedOn w:val="DefaultParagraphFont"/>
    <w:link w:val="Heading1"/>
    <w:uiPriority w:val="9"/>
    <w:rsid w:val="001B6963"/>
    <w:rPr>
      <w:rFonts w:ascii="Century Gothic" w:hAnsi="Century Gothic"/>
      <w:b/>
      <w:color w:val="000000" w:themeColor="text1"/>
      <w:sz w:val="36"/>
    </w:rPr>
  </w:style>
  <w:style w:type="character" w:customStyle="1" w:styleId="Heading2Char">
    <w:name w:val="Heading 2 Char"/>
    <w:basedOn w:val="DefaultParagraphFont"/>
    <w:link w:val="Heading2"/>
    <w:rsid w:val="00247145"/>
    <w:rPr>
      <w:rFonts w:ascii="Century Gothic" w:hAnsi="Century Gothic"/>
      <w:b/>
      <w:color w:val="30A686"/>
      <w:sz w:val="28"/>
    </w:rPr>
  </w:style>
  <w:style w:type="character" w:customStyle="1" w:styleId="Heading3Char">
    <w:name w:val="Heading 3 Char"/>
    <w:basedOn w:val="DefaultParagraphFont"/>
    <w:link w:val="Heading3"/>
    <w:rsid w:val="00247145"/>
    <w:rPr>
      <w:rFonts w:ascii="Century Gothic" w:hAnsi="Century Gothic"/>
      <w:color w:val="30A686"/>
      <w:sz w:val="28"/>
    </w:rPr>
  </w:style>
  <w:style w:type="paragraph" w:styleId="ListParagraph">
    <w:name w:val="List Paragraph"/>
    <w:basedOn w:val="Normal"/>
    <w:uiPriority w:val="34"/>
    <w:qFormat/>
    <w:rsid w:val="002400D5"/>
    <w:pPr>
      <w:ind w:left="720"/>
      <w:contextualSpacing/>
    </w:pPr>
  </w:style>
  <w:style w:type="character" w:styleId="Hyperlink">
    <w:name w:val="Hyperlink"/>
    <w:basedOn w:val="DefaultParagraphFont"/>
    <w:uiPriority w:val="99"/>
    <w:unhideWhenUsed/>
    <w:rsid w:val="00225A8E"/>
    <w:rPr>
      <w:rFonts w:ascii="Times New Roman" w:hAnsi="Times New Roman" w:cs="Times New Roman" w:hint="default"/>
      <w:color w:val="000000"/>
      <w:u w:val="single"/>
    </w:rPr>
  </w:style>
  <w:style w:type="paragraph" w:styleId="NormalWeb">
    <w:name w:val="Normal (Web)"/>
    <w:basedOn w:val="Normal"/>
    <w:uiPriority w:val="99"/>
    <w:unhideWhenUsed/>
    <w:rsid w:val="00CE3AF5"/>
    <w:pPr>
      <w:spacing w:before="100" w:beforeAutospacing="1" w:after="100" w:afterAutospacing="1"/>
    </w:pPr>
    <w:rPr>
      <w:rFonts w:ascii="Times New Roman" w:eastAsia="Times New Roman" w:hAnsi="Times New Roman" w:cs="Times New Roman"/>
      <w:color w:val="auto"/>
      <w:sz w:val="24"/>
      <w:lang w:eastAsia="en-GB"/>
    </w:rPr>
  </w:style>
  <w:style w:type="paragraph" w:styleId="ListBullet">
    <w:name w:val="List Bullet"/>
    <w:basedOn w:val="Normal"/>
    <w:unhideWhenUsed/>
    <w:rsid w:val="00854D18"/>
    <w:pPr>
      <w:numPr>
        <w:numId w:val="9"/>
      </w:numPr>
      <w:contextualSpacing/>
    </w:pPr>
  </w:style>
  <w:style w:type="paragraph" w:styleId="BalloonText">
    <w:name w:val="Balloon Text"/>
    <w:basedOn w:val="Normal"/>
    <w:link w:val="BalloonTextChar"/>
    <w:semiHidden/>
    <w:unhideWhenUsed/>
    <w:rsid w:val="00342BCC"/>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342BCC"/>
    <w:rPr>
      <w:rFonts w:ascii="Segoe UI" w:hAnsi="Segoe UI" w:cs="Segoe UI"/>
      <w:color w:val="000000" w:themeColor="text1"/>
      <w:sz w:val="18"/>
      <w:szCs w:val="18"/>
    </w:rPr>
  </w:style>
  <w:style w:type="paragraph" w:customStyle="1" w:styleId="Default">
    <w:name w:val="Default"/>
    <w:rsid w:val="002B50B2"/>
    <w:pPr>
      <w:autoSpaceDE w:val="0"/>
      <w:autoSpaceDN w:val="0"/>
      <w:adjustRightInd w:val="0"/>
    </w:pPr>
    <w:rPr>
      <w:rFonts w:ascii="Arial" w:hAnsi="Arial" w:cs="Arial"/>
      <w:color w:val="000000"/>
    </w:rPr>
  </w:style>
  <w:style w:type="table" w:styleId="TableGrid">
    <w:name w:val="Table Grid"/>
    <w:basedOn w:val="TableNormal"/>
    <w:uiPriority w:val="59"/>
    <w:rsid w:val="009F109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1B6963"/>
    <w:pPr>
      <w:spacing w:before="120"/>
    </w:pPr>
    <w:rPr>
      <w:rFonts w:ascii="Century Gothic" w:hAnsi="Century Gothic"/>
      <w:color w:val="000000" w:themeColor="text1"/>
      <w:sz w:val="22"/>
    </w:rPr>
  </w:style>
  <w:style w:type="paragraph" w:styleId="Heading1">
    <w:name w:val="heading 1"/>
    <w:basedOn w:val="Normal"/>
    <w:next w:val="Normal"/>
    <w:link w:val="Heading1Char"/>
    <w:uiPriority w:val="9"/>
    <w:qFormat/>
    <w:rsid w:val="001B6963"/>
    <w:pPr>
      <w:spacing w:before="480"/>
      <w:outlineLvl w:val="0"/>
    </w:pPr>
    <w:rPr>
      <w:b/>
      <w:sz w:val="36"/>
    </w:rPr>
  </w:style>
  <w:style w:type="paragraph" w:styleId="Heading2">
    <w:name w:val="heading 2"/>
    <w:basedOn w:val="Normal"/>
    <w:next w:val="Normal"/>
    <w:link w:val="Heading2Char"/>
    <w:rsid w:val="00247145"/>
    <w:pPr>
      <w:spacing w:before="360"/>
      <w:outlineLvl w:val="1"/>
    </w:pPr>
    <w:rPr>
      <w:b/>
      <w:color w:val="30A686"/>
      <w:sz w:val="28"/>
    </w:rPr>
  </w:style>
  <w:style w:type="paragraph" w:styleId="Heading3">
    <w:name w:val="heading 3"/>
    <w:basedOn w:val="Normal"/>
    <w:next w:val="Normal"/>
    <w:link w:val="Heading3Char"/>
    <w:rsid w:val="00247145"/>
    <w:pPr>
      <w:spacing w:before="240"/>
      <w:outlineLvl w:val="2"/>
    </w:pPr>
    <w:rPr>
      <w:color w:val="30A68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39EA"/>
    <w:pPr>
      <w:tabs>
        <w:tab w:val="center" w:pos="4320"/>
        <w:tab w:val="right" w:pos="8640"/>
      </w:tabs>
    </w:pPr>
  </w:style>
  <w:style w:type="character" w:customStyle="1" w:styleId="HeaderChar">
    <w:name w:val="Header Char"/>
    <w:basedOn w:val="DefaultParagraphFont"/>
    <w:link w:val="Header"/>
    <w:uiPriority w:val="99"/>
    <w:rsid w:val="007A39EA"/>
  </w:style>
  <w:style w:type="paragraph" w:styleId="Footer">
    <w:name w:val="footer"/>
    <w:basedOn w:val="Normal"/>
    <w:link w:val="FooterChar"/>
    <w:uiPriority w:val="99"/>
    <w:unhideWhenUsed/>
    <w:rsid w:val="007A39EA"/>
    <w:pPr>
      <w:tabs>
        <w:tab w:val="center" w:pos="4320"/>
        <w:tab w:val="right" w:pos="8640"/>
      </w:tabs>
    </w:pPr>
  </w:style>
  <w:style w:type="character" w:customStyle="1" w:styleId="FooterChar">
    <w:name w:val="Footer Char"/>
    <w:basedOn w:val="DefaultParagraphFont"/>
    <w:link w:val="Footer"/>
    <w:uiPriority w:val="99"/>
    <w:rsid w:val="007A39EA"/>
  </w:style>
  <w:style w:type="character" w:styleId="PageNumber">
    <w:name w:val="page number"/>
    <w:basedOn w:val="DefaultParagraphFont"/>
    <w:uiPriority w:val="99"/>
    <w:semiHidden/>
    <w:unhideWhenUsed/>
    <w:rsid w:val="007A39EA"/>
  </w:style>
  <w:style w:type="character" w:customStyle="1" w:styleId="Heading1Char">
    <w:name w:val="Heading 1 Char"/>
    <w:basedOn w:val="DefaultParagraphFont"/>
    <w:link w:val="Heading1"/>
    <w:uiPriority w:val="9"/>
    <w:rsid w:val="001B6963"/>
    <w:rPr>
      <w:rFonts w:ascii="Century Gothic" w:hAnsi="Century Gothic"/>
      <w:b/>
      <w:color w:val="000000" w:themeColor="text1"/>
      <w:sz w:val="36"/>
    </w:rPr>
  </w:style>
  <w:style w:type="character" w:customStyle="1" w:styleId="Heading2Char">
    <w:name w:val="Heading 2 Char"/>
    <w:basedOn w:val="DefaultParagraphFont"/>
    <w:link w:val="Heading2"/>
    <w:rsid w:val="00247145"/>
    <w:rPr>
      <w:rFonts w:ascii="Century Gothic" w:hAnsi="Century Gothic"/>
      <w:b/>
      <w:color w:val="30A686"/>
      <w:sz w:val="28"/>
    </w:rPr>
  </w:style>
  <w:style w:type="character" w:customStyle="1" w:styleId="Heading3Char">
    <w:name w:val="Heading 3 Char"/>
    <w:basedOn w:val="DefaultParagraphFont"/>
    <w:link w:val="Heading3"/>
    <w:rsid w:val="00247145"/>
    <w:rPr>
      <w:rFonts w:ascii="Century Gothic" w:hAnsi="Century Gothic"/>
      <w:color w:val="30A686"/>
      <w:sz w:val="28"/>
    </w:rPr>
  </w:style>
  <w:style w:type="paragraph" w:styleId="ListParagraph">
    <w:name w:val="List Paragraph"/>
    <w:basedOn w:val="Normal"/>
    <w:uiPriority w:val="34"/>
    <w:qFormat/>
    <w:rsid w:val="002400D5"/>
    <w:pPr>
      <w:ind w:left="720"/>
      <w:contextualSpacing/>
    </w:pPr>
  </w:style>
  <w:style w:type="character" w:styleId="Hyperlink">
    <w:name w:val="Hyperlink"/>
    <w:basedOn w:val="DefaultParagraphFont"/>
    <w:uiPriority w:val="99"/>
    <w:unhideWhenUsed/>
    <w:rsid w:val="00225A8E"/>
    <w:rPr>
      <w:rFonts w:ascii="Times New Roman" w:hAnsi="Times New Roman" w:cs="Times New Roman" w:hint="default"/>
      <w:color w:val="000000"/>
      <w:u w:val="single"/>
    </w:rPr>
  </w:style>
  <w:style w:type="paragraph" w:styleId="NormalWeb">
    <w:name w:val="Normal (Web)"/>
    <w:basedOn w:val="Normal"/>
    <w:uiPriority w:val="99"/>
    <w:unhideWhenUsed/>
    <w:rsid w:val="00CE3AF5"/>
    <w:pPr>
      <w:spacing w:before="100" w:beforeAutospacing="1" w:after="100" w:afterAutospacing="1"/>
    </w:pPr>
    <w:rPr>
      <w:rFonts w:ascii="Times New Roman" w:eastAsia="Times New Roman" w:hAnsi="Times New Roman" w:cs="Times New Roman"/>
      <w:color w:val="auto"/>
      <w:sz w:val="24"/>
      <w:lang w:eastAsia="en-GB"/>
    </w:rPr>
  </w:style>
  <w:style w:type="paragraph" w:styleId="ListBullet">
    <w:name w:val="List Bullet"/>
    <w:basedOn w:val="Normal"/>
    <w:unhideWhenUsed/>
    <w:rsid w:val="00854D18"/>
    <w:pPr>
      <w:numPr>
        <w:numId w:val="9"/>
      </w:numPr>
      <w:contextualSpacing/>
    </w:pPr>
  </w:style>
  <w:style w:type="paragraph" w:styleId="BalloonText">
    <w:name w:val="Balloon Text"/>
    <w:basedOn w:val="Normal"/>
    <w:link w:val="BalloonTextChar"/>
    <w:semiHidden/>
    <w:unhideWhenUsed/>
    <w:rsid w:val="00342BCC"/>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342BCC"/>
    <w:rPr>
      <w:rFonts w:ascii="Segoe UI" w:hAnsi="Segoe UI" w:cs="Segoe UI"/>
      <w:color w:val="000000" w:themeColor="text1"/>
      <w:sz w:val="18"/>
      <w:szCs w:val="18"/>
    </w:rPr>
  </w:style>
  <w:style w:type="paragraph" w:customStyle="1" w:styleId="Default">
    <w:name w:val="Default"/>
    <w:rsid w:val="002B50B2"/>
    <w:pPr>
      <w:autoSpaceDE w:val="0"/>
      <w:autoSpaceDN w:val="0"/>
      <w:adjustRightInd w:val="0"/>
    </w:pPr>
    <w:rPr>
      <w:rFonts w:ascii="Arial" w:hAnsi="Arial" w:cs="Arial"/>
      <w:color w:val="000000"/>
    </w:rPr>
  </w:style>
  <w:style w:type="table" w:styleId="TableGrid">
    <w:name w:val="Table Grid"/>
    <w:basedOn w:val="TableNormal"/>
    <w:uiPriority w:val="59"/>
    <w:rsid w:val="009F109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44084">
      <w:bodyDiv w:val="1"/>
      <w:marLeft w:val="0"/>
      <w:marRight w:val="0"/>
      <w:marTop w:val="0"/>
      <w:marBottom w:val="0"/>
      <w:divBdr>
        <w:top w:val="none" w:sz="0" w:space="0" w:color="auto"/>
        <w:left w:val="none" w:sz="0" w:space="0" w:color="auto"/>
        <w:bottom w:val="none" w:sz="0" w:space="0" w:color="auto"/>
        <w:right w:val="none" w:sz="0" w:space="0" w:color="auto"/>
      </w:divBdr>
    </w:div>
    <w:div w:id="275991791">
      <w:bodyDiv w:val="1"/>
      <w:marLeft w:val="0"/>
      <w:marRight w:val="0"/>
      <w:marTop w:val="0"/>
      <w:marBottom w:val="0"/>
      <w:divBdr>
        <w:top w:val="none" w:sz="0" w:space="0" w:color="auto"/>
        <w:left w:val="none" w:sz="0" w:space="0" w:color="auto"/>
        <w:bottom w:val="none" w:sz="0" w:space="0" w:color="auto"/>
        <w:right w:val="none" w:sz="0" w:space="0" w:color="auto"/>
      </w:divBdr>
    </w:div>
    <w:div w:id="543299010">
      <w:bodyDiv w:val="1"/>
      <w:marLeft w:val="0"/>
      <w:marRight w:val="0"/>
      <w:marTop w:val="0"/>
      <w:marBottom w:val="0"/>
      <w:divBdr>
        <w:top w:val="none" w:sz="0" w:space="0" w:color="auto"/>
        <w:left w:val="none" w:sz="0" w:space="0" w:color="auto"/>
        <w:bottom w:val="none" w:sz="0" w:space="0" w:color="auto"/>
        <w:right w:val="none" w:sz="0" w:space="0" w:color="auto"/>
      </w:divBdr>
    </w:div>
    <w:div w:id="625354895">
      <w:bodyDiv w:val="1"/>
      <w:marLeft w:val="0"/>
      <w:marRight w:val="0"/>
      <w:marTop w:val="0"/>
      <w:marBottom w:val="0"/>
      <w:divBdr>
        <w:top w:val="none" w:sz="0" w:space="0" w:color="auto"/>
        <w:left w:val="none" w:sz="0" w:space="0" w:color="auto"/>
        <w:bottom w:val="none" w:sz="0" w:space="0" w:color="auto"/>
        <w:right w:val="none" w:sz="0" w:space="0" w:color="auto"/>
      </w:divBdr>
    </w:div>
    <w:div w:id="698820621">
      <w:bodyDiv w:val="1"/>
      <w:marLeft w:val="0"/>
      <w:marRight w:val="0"/>
      <w:marTop w:val="0"/>
      <w:marBottom w:val="0"/>
      <w:divBdr>
        <w:top w:val="none" w:sz="0" w:space="0" w:color="auto"/>
        <w:left w:val="none" w:sz="0" w:space="0" w:color="auto"/>
        <w:bottom w:val="none" w:sz="0" w:space="0" w:color="auto"/>
        <w:right w:val="none" w:sz="0" w:space="0" w:color="auto"/>
      </w:divBdr>
    </w:div>
    <w:div w:id="723218726">
      <w:bodyDiv w:val="1"/>
      <w:marLeft w:val="0"/>
      <w:marRight w:val="0"/>
      <w:marTop w:val="0"/>
      <w:marBottom w:val="0"/>
      <w:divBdr>
        <w:top w:val="none" w:sz="0" w:space="0" w:color="auto"/>
        <w:left w:val="none" w:sz="0" w:space="0" w:color="auto"/>
        <w:bottom w:val="none" w:sz="0" w:space="0" w:color="auto"/>
        <w:right w:val="none" w:sz="0" w:space="0" w:color="auto"/>
      </w:divBdr>
    </w:div>
    <w:div w:id="904418877">
      <w:bodyDiv w:val="1"/>
      <w:marLeft w:val="0"/>
      <w:marRight w:val="0"/>
      <w:marTop w:val="0"/>
      <w:marBottom w:val="0"/>
      <w:divBdr>
        <w:top w:val="none" w:sz="0" w:space="0" w:color="auto"/>
        <w:left w:val="none" w:sz="0" w:space="0" w:color="auto"/>
        <w:bottom w:val="none" w:sz="0" w:space="0" w:color="auto"/>
        <w:right w:val="none" w:sz="0" w:space="0" w:color="auto"/>
      </w:divBdr>
    </w:div>
    <w:div w:id="968173337">
      <w:bodyDiv w:val="1"/>
      <w:marLeft w:val="0"/>
      <w:marRight w:val="0"/>
      <w:marTop w:val="0"/>
      <w:marBottom w:val="0"/>
      <w:divBdr>
        <w:top w:val="none" w:sz="0" w:space="0" w:color="auto"/>
        <w:left w:val="none" w:sz="0" w:space="0" w:color="auto"/>
        <w:bottom w:val="none" w:sz="0" w:space="0" w:color="auto"/>
        <w:right w:val="none" w:sz="0" w:space="0" w:color="auto"/>
      </w:divBdr>
    </w:div>
    <w:div w:id="1145317567">
      <w:bodyDiv w:val="1"/>
      <w:marLeft w:val="0"/>
      <w:marRight w:val="0"/>
      <w:marTop w:val="0"/>
      <w:marBottom w:val="0"/>
      <w:divBdr>
        <w:top w:val="none" w:sz="0" w:space="0" w:color="auto"/>
        <w:left w:val="none" w:sz="0" w:space="0" w:color="auto"/>
        <w:bottom w:val="none" w:sz="0" w:space="0" w:color="auto"/>
        <w:right w:val="none" w:sz="0" w:space="0" w:color="auto"/>
      </w:divBdr>
    </w:div>
    <w:div w:id="1398819636">
      <w:bodyDiv w:val="1"/>
      <w:marLeft w:val="0"/>
      <w:marRight w:val="0"/>
      <w:marTop w:val="0"/>
      <w:marBottom w:val="0"/>
      <w:divBdr>
        <w:top w:val="none" w:sz="0" w:space="0" w:color="auto"/>
        <w:left w:val="none" w:sz="0" w:space="0" w:color="auto"/>
        <w:bottom w:val="none" w:sz="0" w:space="0" w:color="auto"/>
        <w:right w:val="none" w:sz="0" w:space="0" w:color="auto"/>
      </w:divBdr>
    </w:div>
    <w:div w:id="1600680196">
      <w:bodyDiv w:val="1"/>
      <w:marLeft w:val="0"/>
      <w:marRight w:val="0"/>
      <w:marTop w:val="0"/>
      <w:marBottom w:val="0"/>
      <w:divBdr>
        <w:top w:val="none" w:sz="0" w:space="0" w:color="auto"/>
        <w:left w:val="none" w:sz="0" w:space="0" w:color="auto"/>
        <w:bottom w:val="none" w:sz="0" w:space="0" w:color="auto"/>
        <w:right w:val="none" w:sz="0" w:space="0" w:color="auto"/>
      </w:divBdr>
    </w:div>
    <w:div w:id="1708722732">
      <w:bodyDiv w:val="1"/>
      <w:marLeft w:val="0"/>
      <w:marRight w:val="0"/>
      <w:marTop w:val="0"/>
      <w:marBottom w:val="0"/>
      <w:divBdr>
        <w:top w:val="none" w:sz="0" w:space="0" w:color="auto"/>
        <w:left w:val="none" w:sz="0" w:space="0" w:color="auto"/>
        <w:bottom w:val="none" w:sz="0" w:space="0" w:color="auto"/>
        <w:right w:val="none" w:sz="0" w:space="0" w:color="auto"/>
      </w:divBdr>
    </w:div>
    <w:div w:id="1958288811">
      <w:bodyDiv w:val="1"/>
      <w:marLeft w:val="0"/>
      <w:marRight w:val="0"/>
      <w:marTop w:val="0"/>
      <w:marBottom w:val="0"/>
      <w:divBdr>
        <w:top w:val="none" w:sz="0" w:space="0" w:color="auto"/>
        <w:left w:val="none" w:sz="0" w:space="0" w:color="auto"/>
        <w:bottom w:val="none" w:sz="0" w:space="0" w:color="auto"/>
        <w:right w:val="none" w:sz="0" w:space="0" w:color="auto"/>
      </w:divBdr>
    </w:div>
    <w:div w:id="2078939691">
      <w:bodyDiv w:val="1"/>
      <w:marLeft w:val="0"/>
      <w:marRight w:val="0"/>
      <w:marTop w:val="0"/>
      <w:marBottom w:val="0"/>
      <w:divBdr>
        <w:top w:val="none" w:sz="0" w:space="0" w:color="auto"/>
        <w:left w:val="none" w:sz="0" w:space="0" w:color="auto"/>
        <w:bottom w:val="none" w:sz="0" w:space="0" w:color="auto"/>
        <w:right w:val="none" w:sz="0" w:space="0" w:color="auto"/>
      </w:divBdr>
    </w:div>
    <w:div w:id="2110660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spcc.org.uk/Inform/publications/downloads/tenpitfalls_wdf48122.pdf%20%20" TargetMode="External"/><Relationship Id="rId4" Type="http://schemas.openxmlformats.org/officeDocument/2006/relationships/settings" Target="settings.xml"/><Relationship Id="rId9" Type="http://schemas.openxmlformats.org/officeDocument/2006/relationships/hyperlink" Target="http://gloucestershirechildcare.proceduresonline.com/p_assessment.html?zoom_highlight=parenting+assessments"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2601</Words>
  <Characters>14826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North Somerset Council</Company>
  <LinksUpToDate>false</LinksUpToDate>
  <CharactersWithSpaces>17393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Caldwell</dc:creator>
  <cp:lastModifiedBy>HOLTOM, Sarah</cp:lastModifiedBy>
  <cp:revision>2</cp:revision>
  <cp:lastPrinted>2017-05-16T10:46:00Z</cp:lastPrinted>
  <dcterms:created xsi:type="dcterms:W3CDTF">2017-07-26T11:42:00Z</dcterms:created>
  <dcterms:modified xsi:type="dcterms:W3CDTF">2017-07-26T11:42:00Z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425334726</vt:i4>
  </property>
  <property fmtid="{D5CDD505-2E9C-101B-9397-08002B2CF9AE}" pid="3" name="_NewReviewCycle">
    <vt:lpwstr/>
  </property>
  <property fmtid="{D5CDD505-2E9C-101B-9397-08002B2CF9AE}" pid="4" name="_EmailSubject">
    <vt:lpwstr>practice guidance - cse </vt:lpwstr>
  </property>
  <property fmtid="{D5CDD505-2E9C-101B-9397-08002B2CF9AE}" pid="5" name="_AuthorEmail">
    <vt:lpwstr>Shelley.Caldwell@n-somerset.gov.uk</vt:lpwstr>
  </property>
  <property fmtid="{D5CDD505-2E9C-101B-9397-08002B2CF9AE}" pid="6" name="_AuthorEmailDisplayName">
    <vt:lpwstr>Shelley Caldwell</vt:lpwstr>
  </property>
  <property fmtid="{D5CDD505-2E9C-101B-9397-08002B2CF9AE}" pid="7" name="_ReviewingToolsShownOnce">
    <vt:lpwstr/>
  </property>
</Properties>
</file>