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524"/>
        <w:gridCol w:w="8438"/>
      </w:tblGrid>
      <w:tr w:rsidR="00FF2EDD" w:rsidRPr="005D4362" w:rsidTr="00CF6038">
        <w:trPr>
          <w:trHeight w:hRule="exact" w:val="1291"/>
        </w:trPr>
        <w:tc>
          <w:tcPr>
            <w:tcW w:w="1336" w:type="dxa"/>
            <w:shd w:val="clear" w:color="auto" w:fill="auto"/>
          </w:tcPr>
          <w:p w:rsidR="00FF2EDD" w:rsidRPr="005D4362" w:rsidRDefault="00FF2EDD">
            <w:pPr>
              <w:rPr>
                <w:rFonts w:ascii="Verdana" w:hAnsi="Verdana" w:cs="Arial"/>
                <w:b/>
                <w:sz w:val="36"/>
                <w:szCs w:val="36"/>
              </w:rPr>
            </w:pPr>
            <w:r w:rsidRPr="005D4362">
              <w:rPr>
                <w:rFonts w:ascii="Verdana" w:hAnsi="Verdana" w:cs="Arial"/>
                <w:b/>
                <w:sz w:val="36"/>
                <w:szCs w:val="36"/>
              </w:rPr>
              <w:t>TITLE:</w:t>
            </w:r>
          </w:p>
        </w:tc>
        <w:tc>
          <w:tcPr>
            <w:tcW w:w="8626" w:type="dxa"/>
            <w:shd w:val="clear" w:color="auto" w:fill="auto"/>
          </w:tcPr>
          <w:p w:rsidR="00FF2EDD" w:rsidRPr="005D4362" w:rsidRDefault="000B6736" w:rsidP="004E6E1B">
            <w:pPr>
              <w:rPr>
                <w:rFonts w:ascii="Verdana" w:hAnsi="Verdana" w:cs="Arial"/>
                <w:b/>
                <w:sz w:val="36"/>
                <w:szCs w:val="36"/>
              </w:rPr>
            </w:pPr>
            <w:r w:rsidRPr="005D4362">
              <w:rPr>
                <w:rFonts w:ascii="Verdana" w:hAnsi="Verdana" w:cs="Arial"/>
                <w:b/>
                <w:bCs/>
                <w:caps/>
                <w:sz w:val="36"/>
                <w:szCs w:val="36"/>
                <w:lang w:eastAsia="en-US"/>
              </w:rPr>
              <w:t xml:space="preserve">TELEPHONES (INCLUDING COMPANY </w:t>
            </w:r>
            <w:smartTag w:uri="urn:schemas-microsoft-com:office:smarttags" w:element="stockticker">
              <w:r w:rsidRPr="005D4362">
                <w:rPr>
                  <w:rFonts w:ascii="Verdana" w:hAnsi="Verdana" w:cs="Arial"/>
                  <w:b/>
                  <w:bCs/>
                  <w:caps/>
                  <w:sz w:val="36"/>
                  <w:szCs w:val="36"/>
                  <w:lang w:eastAsia="en-US"/>
                </w:rPr>
                <w:t>AND</w:t>
              </w:r>
            </w:smartTag>
            <w:r w:rsidRPr="005D4362">
              <w:rPr>
                <w:rFonts w:ascii="Verdana" w:hAnsi="Verdana" w:cs="Arial"/>
                <w:b/>
                <w:bCs/>
                <w:caps/>
                <w:sz w:val="36"/>
                <w:szCs w:val="36"/>
                <w:lang w:eastAsia="en-US"/>
              </w:rPr>
              <w:t xml:space="preserve"> PERSONAL MOBILES), E</w:t>
            </w:r>
            <w:smartTag w:uri="urn:schemas-microsoft-com:office:smarttags" w:element="stockticker">
              <w:r w:rsidRPr="005D4362">
                <w:rPr>
                  <w:rFonts w:ascii="Verdana" w:hAnsi="Verdana" w:cs="Arial"/>
                  <w:b/>
                  <w:bCs/>
                  <w:caps/>
                  <w:sz w:val="36"/>
                  <w:szCs w:val="36"/>
                  <w:lang w:eastAsia="en-US"/>
                </w:rPr>
                <w:t>MAIL</w:t>
              </w:r>
            </w:smartTag>
            <w:r w:rsidRPr="005D4362">
              <w:rPr>
                <w:rFonts w:ascii="Verdana" w:hAnsi="Verdana" w:cs="Arial"/>
                <w:b/>
                <w:bCs/>
                <w:caps/>
                <w:sz w:val="36"/>
                <w:szCs w:val="36"/>
                <w:lang w:eastAsia="en-US"/>
              </w:rPr>
              <w:t xml:space="preserve"> </w:t>
            </w:r>
            <w:smartTag w:uri="urn:schemas-microsoft-com:office:smarttags" w:element="stockticker">
              <w:r w:rsidRPr="005D4362">
                <w:rPr>
                  <w:rFonts w:ascii="Verdana" w:hAnsi="Verdana" w:cs="Arial"/>
                  <w:b/>
                  <w:bCs/>
                  <w:caps/>
                  <w:sz w:val="36"/>
                  <w:szCs w:val="36"/>
                  <w:lang w:eastAsia="en-US"/>
                </w:rPr>
                <w:t>AND</w:t>
              </w:r>
            </w:smartTag>
            <w:r w:rsidRPr="005D4362">
              <w:rPr>
                <w:rFonts w:ascii="Verdana" w:hAnsi="Verdana" w:cs="Arial"/>
                <w:b/>
                <w:bCs/>
                <w:caps/>
                <w:sz w:val="36"/>
                <w:szCs w:val="36"/>
                <w:lang w:eastAsia="en-US"/>
              </w:rPr>
              <w:t xml:space="preserve"> THE INTERNET BY STAFF</w:t>
            </w:r>
            <w:r w:rsidR="007B719C" w:rsidRPr="005D4362">
              <w:rPr>
                <w:rFonts w:ascii="Verdana" w:hAnsi="Verdana" w:cs="Arial"/>
                <w:b/>
                <w:bCs/>
                <w:caps/>
                <w:sz w:val="36"/>
                <w:szCs w:val="36"/>
                <w:lang w:eastAsia="en-US"/>
              </w:rPr>
              <w:t xml:space="preserve"> – Use of</w:t>
            </w:r>
          </w:p>
        </w:tc>
      </w:tr>
    </w:tbl>
    <w:p w:rsidR="000B6736" w:rsidRPr="005D4362" w:rsidRDefault="000B6736">
      <w:pPr>
        <w:rPr>
          <w:rFonts w:ascii="Verdana" w:hAnsi="Verdana" w:cs="Arial"/>
          <w:sz w:val="22"/>
          <w:szCs w:val="22"/>
        </w:rPr>
        <w:sectPr w:rsidR="000B6736" w:rsidRPr="005D4362" w:rsidSect="00FE1D92">
          <w:headerReference w:type="default" r:id="rId8"/>
          <w:footerReference w:type="default" r:id="rId9"/>
          <w:pgSz w:w="11906" w:h="16838"/>
          <w:pgMar w:top="720" w:right="720" w:bottom="720" w:left="1440" w:header="706" w:footer="706" w:gutter="0"/>
          <w:cols w:space="708"/>
          <w:docGrid w:linePitch="360"/>
        </w:sectPr>
      </w:pPr>
    </w:p>
    <w:tbl>
      <w:tblPr>
        <w:tblW w:w="0" w:type="auto"/>
        <w:tblLayout w:type="fixed"/>
        <w:tblLook w:val="01E0" w:firstRow="1" w:lastRow="1" w:firstColumn="1" w:lastColumn="1" w:noHBand="0" w:noVBand="0"/>
      </w:tblPr>
      <w:tblGrid>
        <w:gridCol w:w="574"/>
        <w:gridCol w:w="14"/>
        <w:gridCol w:w="600"/>
        <w:gridCol w:w="467"/>
        <w:gridCol w:w="6500"/>
        <w:gridCol w:w="250"/>
        <w:gridCol w:w="1557"/>
      </w:tblGrid>
      <w:tr w:rsidR="00FF2EDD" w:rsidRPr="005D4362" w:rsidTr="00CF6038">
        <w:trPr>
          <w:trHeight w:hRule="exact" w:val="432"/>
        </w:trPr>
        <w:tc>
          <w:tcPr>
            <w:tcW w:w="1655" w:type="dxa"/>
            <w:gridSpan w:val="4"/>
            <w:shd w:val="clear" w:color="auto" w:fill="auto"/>
          </w:tcPr>
          <w:p w:rsidR="00FF2EDD" w:rsidRPr="005D4362" w:rsidRDefault="00FF2EDD">
            <w:pPr>
              <w:rPr>
                <w:rFonts w:ascii="Verdana" w:hAnsi="Verdana" w:cs="Arial"/>
                <w:sz w:val="22"/>
                <w:szCs w:val="22"/>
              </w:rPr>
            </w:pPr>
          </w:p>
        </w:tc>
        <w:tc>
          <w:tcPr>
            <w:tcW w:w="8307" w:type="dxa"/>
            <w:gridSpan w:val="3"/>
            <w:shd w:val="clear" w:color="auto" w:fill="auto"/>
          </w:tcPr>
          <w:p w:rsidR="00FF2EDD" w:rsidRPr="005D4362" w:rsidRDefault="00FF2EDD">
            <w:pPr>
              <w:rPr>
                <w:rFonts w:ascii="Verdana" w:hAnsi="Verdana" w:cs="Arial"/>
                <w:sz w:val="22"/>
                <w:szCs w:val="22"/>
              </w:rPr>
            </w:pPr>
          </w:p>
        </w:tc>
      </w:tr>
      <w:tr w:rsidR="00FF2EDD" w:rsidRPr="005D4362" w:rsidTr="00CF6038">
        <w:trPr>
          <w:trHeight w:hRule="exact" w:val="432"/>
        </w:trPr>
        <w:tc>
          <w:tcPr>
            <w:tcW w:w="574" w:type="dxa"/>
            <w:shd w:val="clear" w:color="auto" w:fill="auto"/>
          </w:tcPr>
          <w:p w:rsidR="00FF2EDD" w:rsidRPr="005D4362" w:rsidRDefault="00FF2EDD">
            <w:pPr>
              <w:rPr>
                <w:rFonts w:ascii="Verdana" w:hAnsi="Verdana" w:cs="Arial"/>
                <w:b/>
                <w:sz w:val="28"/>
                <w:szCs w:val="28"/>
              </w:rPr>
            </w:pPr>
            <w:r w:rsidRPr="005D4362">
              <w:rPr>
                <w:rFonts w:ascii="Verdana" w:hAnsi="Verdana" w:cs="Arial"/>
                <w:b/>
                <w:sz w:val="28"/>
                <w:szCs w:val="28"/>
              </w:rPr>
              <w:t>1</w:t>
            </w:r>
          </w:p>
        </w:tc>
        <w:tc>
          <w:tcPr>
            <w:tcW w:w="9388" w:type="dxa"/>
            <w:gridSpan w:val="6"/>
            <w:shd w:val="clear" w:color="auto" w:fill="auto"/>
          </w:tcPr>
          <w:p w:rsidR="00FF2EDD" w:rsidRPr="005D4362" w:rsidRDefault="00FF2EDD">
            <w:pPr>
              <w:rPr>
                <w:rFonts w:ascii="Verdana" w:hAnsi="Verdana" w:cs="Arial"/>
                <w:b/>
                <w:sz w:val="28"/>
                <w:szCs w:val="28"/>
              </w:rPr>
            </w:pPr>
            <w:r w:rsidRPr="005D4362">
              <w:rPr>
                <w:rFonts w:ascii="Verdana" w:hAnsi="Verdana" w:cs="Arial"/>
                <w:b/>
                <w:sz w:val="28"/>
                <w:szCs w:val="28"/>
              </w:rPr>
              <w:t>Purpose</w:t>
            </w:r>
          </w:p>
        </w:tc>
      </w:tr>
      <w:tr w:rsidR="00FF2EDD" w:rsidRPr="005D4362" w:rsidTr="00CF6038">
        <w:trPr>
          <w:trHeight w:val="432"/>
        </w:trPr>
        <w:tc>
          <w:tcPr>
            <w:tcW w:w="574" w:type="dxa"/>
            <w:shd w:val="clear" w:color="auto" w:fill="auto"/>
          </w:tcPr>
          <w:p w:rsidR="00FF2EDD" w:rsidRPr="005D4362" w:rsidRDefault="00FF2EDD" w:rsidP="00CF6038">
            <w:pPr>
              <w:spacing w:after="120"/>
              <w:rPr>
                <w:rFonts w:ascii="Verdana" w:hAnsi="Verdana" w:cs="Arial"/>
                <w:sz w:val="22"/>
                <w:szCs w:val="22"/>
              </w:rPr>
            </w:pPr>
          </w:p>
        </w:tc>
        <w:tc>
          <w:tcPr>
            <w:tcW w:w="9388" w:type="dxa"/>
            <w:gridSpan w:val="6"/>
            <w:shd w:val="clear" w:color="auto" w:fill="auto"/>
          </w:tcPr>
          <w:p w:rsidR="00FF2EDD" w:rsidRPr="005D4362" w:rsidRDefault="000B6736" w:rsidP="00CF6038">
            <w:pPr>
              <w:spacing w:after="120"/>
              <w:jc w:val="both"/>
              <w:rPr>
                <w:rFonts w:ascii="Verdana" w:hAnsi="Verdana" w:cs="Arial"/>
                <w:sz w:val="22"/>
                <w:szCs w:val="22"/>
              </w:rPr>
            </w:pPr>
            <w:r w:rsidRPr="005D4362">
              <w:rPr>
                <w:rFonts w:ascii="Verdana" w:hAnsi="Verdana" w:cs="Arial"/>
                <w:sz w:val="22"/>
                <w:szCs w:val="22"/>
                <w:lang w:eastAsia="en-US"/>
              </w:rPr>
              <w:t xml:space="preserve">The provisions of this Policy apply to all members of staff, whether or not they have access to, or sole use of, telephone or email/the Internet on a personal computer.  These facilities are provided for </w:t>
            </w:r>
            <w:r w:rsidR="001D318F" w:rsidRPr="005D4362">
              <w:rPr>
                <w:rFonts w:ascii="Verdana" w:hAnsi="Verdana" w:cs="Arial"/>
                <w:sz w:val="22"/>
                <w:szCs w:val="22"/>
                <w:lang w:eastAsia="en-US"/>
              </w:rPr>
              <w:t xml:space="preserve">Families@FamilyCare </w:t>
            </w:r>
            <w:r w:rsidRPr="005D4362">
              <w:rPr>
                <w:rFonts w:ascii="Verdana" w:hAnsi="Verdana" w:cs="Arial"/>
                <w:sz w:val="22"/>
                <w:szCs w:val="22"/>
                <w:lang w:eastAsia="en-US"/>
              </w:rPr>
              <w:t xml:space="preserve">business and it is recognised that </w:t>
            </w:r>
            <w:r w:rsidR="001D318F" w:rsidRPr="005D4362">
              <w:rPr>
                <w:rFonts w:ascii="Verdana" w:hAnsi="Verdana" w:cs="Arial"/>
                <w:sz w:val="22"/>
                <w:szCs w:val="22"/>
                <w:lang w:eastAsia="en-US"/>
              </w:rPr>
              <w:t xml:space="preserve">Families@FamilyCare </w:t>
            </w:r>
            <w:r w:rsidRPr="005D4362">
              <w:rPr>
                <w:rFonts w:ascii="Verdana" w:hAnsi="Verdana" w:cs="Arial"/>
                <w:sz w:val="22"/>
                <w:szCs w:val="22"/>
                <w:lang w:eastAsia="en-US"/>
              </w:rPr>
              <w:t>should provide guidance to employees about the appropria</w:t>
            </w:r>
            <w:r w:rsidR="009551CB" w:rsidRPr="005D4362">
              <w:rPr>
                <w:rFonts w:ascii="Verdana" w:hAnsi="Verdana" w:cs="Arial"/>
                <w:sz w:val="22"/>
                <w:szCs w:val="22"/>
                <w:lang w:eastAsia="en-US"/>
              </w:rPr>
              <w:t>te use of telephones and email/i</w:t>
            </w:r>
            <w:r w:rsidRPr="005D4362">
              <w:rPr>
                <w:rFonts w:ascii="Verdana" w:hAnsi="Verdana" w:cs="Arial"/>
                <w:sz w:val="22"/>
                <w:szCs w:val="22"/>
                <w:lang w:eastAsia="en-US"/>
              </w:rPr>
              <w:t>nternet access in order to safeguard the interests of both members of staff and</w:t>
            </w:r>
            <w:r w:rsidR="001D318F" w:rsidRPr="005D4362">
              <w:rPr>
                <w:rFonts w:ascii="Verdana" w:hAnsi="Verdana" w:cs="Arial"/>
                <w:sz w:val="22"/>
                <w:szCs w:val="22"/>
                <w:lang w:eastAsia="en-US"/>
              </w:rPr>
              <w:t xml:space="preserve"> Families@FamilyCare</w:t>
            </w:r>
            <w:r w:rsidRPr="005D4362">
              <w:rPr>
                <w:rFonts w:ascii="Verdana" w:hAnsi="Verdana" w:cs="Arial"/>
                <w:sz w:val="22"/>
                <w:szCs w:val="22"/>
                <w:lang w:eastAsia="en-US"/>
              </w:rPr>
              <w:t xml:space="preserve">.  Although access to such facilities does not form part of the benefits package </w:t>
            </w:r>
            <w:r w:rsidR="009551CB" w:rsidRPr="005D4362">
              <w:rPr>
                <w:rFonts w:ascii="Verdana" w:hAnsi="Verdana" w:cs="Arial"/>
                <w:sz w:val="22"/>
                <w:szCs w:val="22"/>
                <w:lang w:eastAsia="en-US"/>
              </w:rPr>
              <w:t>for</w:t>
            </w:r>
            <w:r w:rsidRPr="005D4362">
              <w:rPr>
                <w:rFonts w:ascii="Verdana" w:hAnsi="Verdana" w:cs="Arial"/>
                <w:sz w:val="22"/>
                <w:szCs w:val="22"/>
                <w:lang w:eastAsia="en-US"/>
              </w:rPr>
              <w:t xml:space="preserve"> a member of staff, it is recognised that there may be rare occasions when employees might legitimately need to make use of</w:t>
            </w:r>
            <w:r w:rsidR="009551CB" w:rsidRPr="005D4362">
              <w:rPr>
                <w:rFonts w:ascii="Verdana" w:hAnsi="Verdana" w:cs="Arial"/>
                <w:sz w:val="22"/>
                <w:szCs w:val="22"/>
                <w:lang w:eastAsia="en-US"/>
              </w:rPr>
              <w:t xml:space="preserve"> the</w:t>
            </w:r>
            <w:r w:rsidRPr="005D4362">
              <w:rPr>
                <w:rFonts w:ascii="Verdana" w:hAnsi="Verdana" w:cs="Arial"/>
                <w:sz w:val="22"/>
                <w:szCs w:val="22"/>
                <w:lang w:eastAsia="en-US"/>
              </w:rPr>
              <w:t xml:space="preserve"> company telephone to send or receive private calls, use a computer to send and receive personal email and use Internet access for private use.  </w:t>
            </w:r>
          </w:p>
        </w:tc>
      </w:tr>
      <w:tr w:rsidR="00FF2EDD" w:rsidRPr="005D4362" w:rsidTr="00CF6038">
        <w:trPr>
          <w:trHeight w:hRule="exact" w:val="432"/>
        </w:trPr>
        <w:tc>
          <w:tcPr>
            <w:tcW w:w="574" w:type="dxa"/>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2</w:t>
            </w:r>
          </w:p>
        </w:tc>
        <w:tc>
          <w:tcPr>
            <w:tcW w:w="9388" w:type="dxa"/>
            <w:gridSpan w:val="6"/>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Scope</w:t>
            </w:r>
          </w:p>
        </w:tc>
      </w:tr>
      <w:tr w:rsidR="00FF2EDD" w:rsidRPr="005D4362" w:rsidTr="00CF6038">
        <w:trPr>
          <w:trHeight w:val="432"/>
        </w:trPr>
        <w:tc>
          <w:tcPr>
            <w:tcW w:w="574" w:type="dxa"/>
            <w:shd w:val="clear" w:color="auto" w:fill="auto"/>
          </w:tcPr>
          <w:p w:rsidR="00FF2EDD" w:rsidRPr="005D4362" w:rsidRDefault="00FF2EDD" w:rsidP="00CF6038">
            <w:pPr>
              <w:spacing w:after="120"/>
              <w:rPr>
                <w:rFonts w:ascii="Verdana" w:hAnsi="Verdana" w:cs="Arial"/>
                <w:sz w:val="22"/>
                <w:szCs w:val="22"/>
              </w:rPr>
            </w:pPr>
          </w:p>
        </w:tc>
        <w:tc>
          <w:tcPr>
            <w:tcW w:w="9388" w:type="dxa"/>
            <w:gridSpan w:val="6"/>
            <w:shd w:val="clear" w:color="auto" w:fill="auto"/>
          </w:tcPr>
          <w:p w:rsidR="000B6736" w:rsidRPr="005D4362" w:rsidRDefault="000B6736" w:rsidP="00CF6038">
            <w:pPr>
              <w:tabs>
                <w:tab w:val="left" w:pos="576"/>
              </w:tabs>
              <w:spacing w:after="120"/>
              <w:jc w:val="both"/>
              <w:rPr>
                <w:rFonts w:ascii="Verdana" w:hAnsi="Verdana" w:cs="Arial"/>
                <w:sz w:val="22"/>
                <w:szCs w:val="22"/>
              </w:rPr>
            </w:pPr>
            <w:r w:rsidRPr="005D4362">
              <w:rPr>
                <w:rFonts w:ascii="Verdana" w:hAnsi="Verdana" w:cs="Arial"/>
                <w:sz w:val="22"/>
                <w:szCs w:val="22"/>
              </w:rPr>
              <w:t xml:space="preserve">This Policy is intended to make clear what constitutes legitimate use in order that employees can use these facilities to their full potential on </w:t>
            </w:r>
            <w:r w:rsidR="001D318F" w:rsidRPr="005D4362">
              <w:rPr>
                <w:rFonts w:ascii="Verdana" w:hAnsi="Verdana" w:cs="Arial"/>
                <w:sz w:val="22"/>
                <w:szCs w:val="22"/>
              </w:rPr>
              <w:t xml:space="preserve">Families@FamilyCare </w:t>
            </w:r>
            <w:r w:rsidRPr="005D4362">
              <w:rPr>
                <w:rFonts w:ascii="Verdana" w:hAnsi="Verdana" w:cs="Arial"/>
                <w:sz w:val="22"/>
                <w:szCs w:val="22"/>
              </w:rPr>
              <w:t>business and so that there is clarity about what does and does not constitute unacceptable use.  The Policy is not intended to place employees under unjustifiable scrutiny, but to give them a high measure of security and confidence about their use of email, telephones and the Internet.</w:t>
            </w:r>
          </w:p>
          <w:p w:rsidR="000B6736" w:rsidRPr="005D4362" w:rsidRDefault="000B6736" w:rsidP="00CF6038">
            <w:pPr>
              <w:tabs>
                <w:tab w:val="left" w:pos="576"/>
              </w:tabs>
              <w:spacing w:after="120"/>
              <w:jc w:val="both"/>
              <w:rPr>
                <w:rFonts w:ascii="Verdana" w:hAnsi="Verdana" w:cs="Arial"/>
                <w:sz w:val="22"/>
                <w:szCs w:val="22"/>
              </w:rPr>
            </w:pPr>
            <w:r w:rsidRPr="005D4362">
              <w:rPr>
                <w:rFonts w:ascii="Verdana" w:hAnsi="Verdana" w:cs="Arial"/>
                <w:sz w:val="22"/>
                <w:szCs w:val="22"/>
              </w:rPr>
              <w:t>It should be noted that this Policy governs the use of telephones and email/Internet access provided on Personal Computers or networks, to employees in order to allow them to undertake their company employment.  The fact that personal use of these facilities is in certain circumstances legitimate does not mean that such use is a formal benefit, nor does it give employees a right to such access.  A number of jobs in the Company do not require access to these facilities and hence such facilities are not provided.</w:t>
            </w:r>
          </w:p>
          <w:p w:rsidR="00FF2EDD" w:rsidRPr="005D4362" w:rsidRDefault="000B6736" w:rsidP="00CF6038">
            <w:pPr>
              <w:tabs>
                <w:tab w:val="left" w:pos="576"/>
              </w:tabs>
              <w:spacing w:after="120"/>
              <w:jc w:val="both"/>
              <w:rPr>
                <w:rFonts w:ascii="Verdana" w:hAnsi="Verdana"/>
              </w:rPr>
            </w:pPr>
            <w:r w:rsidRPr="005D4362">
              <w:rPr>
                <w:rFonts w:ascii="Verdana" w:hAnsi="Verdana" w:cs="Arial"/>
                <w:sz w:val="22"/>
                <w:szCs w:val="22"/>
              </w:rPr>
              <w:t xml:space="preserve">The sections of the Policy regarding misconduct and misuse should be read in conjunction with the appropriate </w:t>
            </w:r>
            <w:r w:rsidR="009551CB" w:rsidRPr="005D4362">
              <w:rPr>
                <w:rFonts w:ascii="Verdana" w:hAnsi="Verdana" w:cs="Arial"/>
                <w:sz w:val="22"/>
                <w:szCs w:val="22"/>
              </w:rPr>
              <w:t>S</w:t>
            </w:r>
            <w:r w:rsidRPr="005D4362">
              <w:rPr>
                <w:rFonts w:ascii="Verdana" w:hAnsi="Verdana" w:cs="Arial"/>
                <w:sz w:val="22"/>
                <w:szCs w:val="22"/>
              </w:rPr>
              <w:t xml:space="preserve">taff </w:t>
            </w:r>
            <w:r w:rsidR="009551CB" w:rsidRPr="005D4362">
              <w:rPr>
                <w:rFonts w:ascii="Verdana" w:hAnsi="Verdana" w:cs="Arial"/>
                <w:sz w:val="22"/>
                <w:szCs w:val="22"/>
              </w:rPr>
              <w:t>D</w:t>
            </w:r>
            <w:r w:rsidRPr="005D4362">
              <w:rPr>
                <w:rFonts w:ascii="Verdana" w:hAnsi="Verdana" w:cs="Arial"/>
                <w:sz w:val="22"/>
                <w:szCs w:val="22"/>
              </w:rPr>
              <w:t>isciplinary procedure.  This Policy has also been designed to safeguard the legal rights of members of staff under the terms of both the Data Protection Act and the Human Rights Act.</w:t>
            </w:r>
          </w:p>
        </w:tc>
      </w:tr>
      <w:tr w:rsidR="00FF2EDD" w:rsidRPr="005D4362" w:rsidTr="00CF6038">
        <w:trPr>
          <w:trHeight w:hRule="exact" w:val="432"/>
        </w:trPr>
        <w:tc>
          <w:tcPr>
            <w:tcW w:w="574" w:type="dxa"/>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3</w:t>
            </w:r>
          </w:p>
        </w:tc>
        <w:tc>
          <w:tcPr>
            <w:tcW w:w="9388" w:type="dxa"/>
            <w:gridSpan w:val="6"/>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References</w:t>
            </w:r>
          </w:p>
        </w:tc>
      </w:tr>
      <w:tr w:rsidR="00FF2EDD" w:rsidRPr="005D4362" w:rsidTr="00CF6038">
        <w:trPr>
          <w:trHeight w:val="432"/>
        </w:trPr>
        <w:tc>
          <w:tcPr>
            <w:tcW w:w="574" w:type="dxa"/>
            <w:shd w:val="clear" w:color="auto" w:fill="auto"/>
          </w:tcPr>
          <w:p w:rsidR="00FF2EDD" w:rsidRPr="005D4362" w:rsidRDefault="00FF2EDD" w:rsidP="00CF6038">
            <w:pPr>
              <w:spacing w:after="120"/>
              <w:rPr>
                <w:rFonts w:ascii="Verdana" w:hAnsi="Verdana" w:cs="Arial"/>
                <w:sz w:val="22"/>
                <w:szCs w:val="22"/>
              </w:rPr>
            </w:pPr>
          </w:p>
        </w:tc>
        <w:tc>
          <w:tcPr>
            <w:tcW w:w="9388" w:type="dxa"/>
            <w:gridSpan w:val="6"/>
            <w:shd w:val="clear" w:color="auto" w:fill="auto"/>
          </w:tcPr>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Companies Act 1985</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Computer Misuse Act 1990</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Copyright, Designs and Patents Act 1988</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lastRenderedPageBreak/>
              <w:t>Criminal Justice Act 1988</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Data Protection Act 1998</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Defamation Act 1996</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Disability Discrimination Act 1995 (Amendment) Regulations 2003</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Employment Equality (Age) Regulations 2006</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Human Rights Act 1998</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Obscene Publications Act 1959</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Protection of Children Act 1988</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Race Relations Act 1976</w:t>
            </w:r>
          </w:p>
          <w:p w:rsidR="000B6736"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Sex Discrimination Act 1975</w:t>
            </w:r>
          </w:p>
          <w:p w:rsidR="001D318F" w:rsidRPr="005D4362" w:rsidRDefault="000B6736" w:rsidP="00CF6038">
            <w:pPr>
              <w:numPr>
                <w:ilvl w:val="0"/>
                <w:numId w:val="4"/>
              </w:numPr>
              <w:tabs>
                <w:tab w:val="left" w:pos="576"/>
              </w:tabs>
              <w:spacing w:before="40"/>
              <w:jc w:val="both"/>
              <w:rPr>
                <w:rFonts w:ascii="Verdana" w:hAnsi="Verdana" w:cs="Arial"/>
                <w:sz w:val="22"/>
                <w:szCs w:val="22"/>
              </w:rPr>
            </w:pPr>
            <w:r w:rsidRPr="005D4362">
              <w:rPr>
                <w:rFonts w:ascii="Verdana" w:hAnsi="Verdana" w:cs="Arial"/>
                <w:sz w:val="22"/>
                <w:szCs w:val="22"/>
              </w:rPr>
              <w:t>Telecommunications (Lawful Business Practice) (Interception of Communications)</w:t>
            </w:r>
            <w:r w:rsidR="009551CB" w:rsidRPr="005D4362">
              <w:rPr>
                <w:rFonts w:ascii="Verdana" w:hAnsi="Verdana" w:cs="Arial"/>
                <w:sz w:val="22"/>
                <w:szCs w:val="22"/>
              </w:rPr>
              <w:t xml:space="preserve"> </w:t>
            </w:r>
            <w:r w:rsidRPr="005D4362">
              <w:rPr>
                <w:rFonts w:ascii="Verdana" w:hAnsi="Verdana" w:cs="Arial"/>
                <w:sz w:val="22"/>
                <w:szCs w:val="22"/>
              </w:rPr>
              <w:t>Regulations 2000</w:t>
            </w:r>
          </w:p>
          <w:p w:rsidR="0052188A" w:rsidRPr="005D4362" w:rsidRDefault="0052188A" w:rsidP="00CF6038">
            <w:pPr>
              <w:numPr>
                <w:ilvl w:val="0"/>
                <w:numId w:val="4"/>
              </w:numPr>
              <w:tabs>
                <w:tab w:val="left" w:pos="576"/>
              </w:tabs>
              <w:spacing w:before="40"/>
              <w:jc w:val="both"/>
              <w:rPr>
                <w:rFonts w:ascii="Verdana" w:hAnsi="Verdana"/>
              </w:rPr>
            </w:pPr>
            <w:r w:rsidRPr="005D4362">
              <w:rPr>
                <w:rFonts w:ascii="Verdana" w:hAnsi="Verdana" w:cs="Arial"/>
                <w:sz w:val="22"/>
                <w:szCs w:val="22"/>
              </w:rPr>
              <w:t>Procedure - Mobile Phones</w:t>
            </w:r>
          </w:p>
        </w:tc>
      </w:tr>
      <w:tr w:rsidR="00FF2EDD" w:rsidRPr="005D4362" w:rsidTr="00CF6038">
        <w:trPr>
          <w:trHeight w:hRule="exact" w:val="432"/>
        </w:trPr>
        <w:tc>
          <w:tcPr>
            <w:tcW w:w="574" w:type="dxa"/>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lastRenderedPageBreak/>
              <w:t>4</w:t>
            </w:r>
          </w:p>
        </w:tc>
        <w:tc>
          <w:tcPr>
            <w:tcW w:w="9388" w:type="dxa"/>
            <w:gridSpan w:val="6"/>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Definitions</w:t>
            </w:r>
          </w:p>
        </w:tc>
      </w:tr>
      <w:tr w:rsidR="00FF2EDD" w:rsidRPr="005D4362" w:rsidTr="00CF6038">
        <w:trPr>
          <w:trHeight w:val="432"/>
        </w:trPr>
        <w:tc>
          <w:tcPr>
            <w:tcW w:w="574" w:type="dxa"/>
            <w:shd w:val="clear" w:color="auto" w:fill="auto"/>
          </w:tcPr>
          <w:p w:rsidR="00FF2EDD" w:rsidRPr="005D4362" w:rsidRDefault="00FF2EDD" w:rsidP="00CF6038">
            <w:pPr>
              <w:spacing w:after="120"/>
              <w:rPr>
                <w:rFonts w:ascii="Verdana" w:hAnsi="Verdana" w:cs="Arial"/>
                <w:sz w:val="22"/>
                <w:szCs w:val="22"/>
              </w:rPr>
            </w:pPr>
          </w:p>
        </w:tc>
        <w:tc>
          <w:tcPr>
            <w:tcW w:w="9388" w:type="dxa"/>
            <w:gridSpan w:val="6"/>
            <w:shd w:val="clear" w:color="auto" w:fill="auto"/>
          </w:tcPr>
          <w:p w:rsidR="00FF2EDD" w:rsidRPr="005D4362" w:rsidRDefault="009551CB" w:rsidP="00CF6038">
            <w:pPr>
              <w:spacing w:after="120"/>
              <w:rPr>
                <w:rFonts w:ascii="Verdana" w:hAnsi="Verdana" w:cs="Arial"/>
                <w:sz w:val="22"/>
                <w:szCs w:val="22"/>
              </w:rPr>
            </w:pPr>
            <w:r w:rsidRPr="005D4362">
              <w:rPr>
                <w:rFonts w:ascii="Verdana" w:hAnsi="Verdana" w:cs="Arial"/>
                <w:sz w:val="22"/>
                <w:szCs w:val="22"/>
              </w:rPr>
              <w:t>None</w:t>
            </w: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before="120" w:after="120"/>
              <w:rPr>
                <w:rFonts w:ascii="Verdana" w:hAnsi="Verdana" w:cs="Arial"/>
                <w:b/>
                <w:sz w:val="28"/>
                <w:szCs w:val="28"/>
              </w:rPr>
            </w:pPr>
            <w:r w:rsidRPr="005D4362">
              <w:rPr>
                <w:rFonts w:ascii="Verdana" w:hAnsi="Verdana" w:cs="Arial"/>
                <w:b/>
                <w:sz w:val="28"/>
                <w:szCs w:val="28"/>
              </w:rPr>
              <w:t>5</w:t>
            </w:r>
          </w:p>
        </w:tc>
        <w:tc>
          <w:tcPr>
            <w:tcW w:w="9374" w:type="dxa"/>
            <w:gridSpan w:val="5"/>
            <w:shd w:val="clear" w:color="auto" w:fill="auto"/>
          </w:tcPr>
          <w:p w:rsidR="009551CB" w:rsidRPr="005D4362" w:rsidRDefault="009551CB" w:rsidP="00CF6038">
            <w:pPr>
              <w:spacing w:before="120" w:after="120"/>
              <w:rPr>
                <w:rFonts w:ascii="Verdana" w:hAnsi="Verdana" w:cs="Arial"/>
                <w:b/>
                <w:sz w:val="28"/>
                <w:szCs w:val="28"/>
              </w:rPr>
            </w:pPr>
            <w:r w:rsidRPr="005D4362">
              <w:rPr>
                <w:rFonts w:ascii="Verdana" w:hAnsi="Verdana" w:cs="Arial"/>
                <w:b/>
                <w:sz w:val="28"/>
                <w:szCs w:val="28"/>
              </w:rPr>
              <w:t>Action</w:t>
            </w: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pPr>
              <w:rPr>
                <w:rFonts w:ascii="Verdana" w:hAnsi="Verdana" w:cs="Arial"/>
                <w:sz w:val="22"/>
                <w:szCs w:val="22"/>
              </w:rPr>
            </w:pPr>
          </w:p>
        </w:tc>
        <w:tc>
          <w:tcPr>
            <w:tcW w:w="600" w:type="dxa"/>
            <w:shd w:val="clear" w:color="auto" w:fill="auto"/>
          </w:tcPr>
          <w:p w:rsidR="009551CB" w:rsidRPr="005D4362" w:rsidRDefault="009551CB">
            <w:pPr>
              <w:rPr>
                <w:rFonts w:ascii="Verdana" w:hAnsi="Verdana" w:cs="Arial"/>
                <w:sz w:val="22"/>
                <w:szCs w:val="22"/>
              </w:rPr>
            </w:pPr>
          </w:p>
        </w:tc>
        <w:tc>
          <w:tcPr>
            <w:tcW w:w="6967" w:type="dxa"/>
            <w:gridSpan w:val="2"/>
            <w:shd w:val="clear" w:color="auto" w:fill="auto"/>
          </w:tcPr>
          <w:p w:rsidR="009551CB" w:rsidRPr="005D4362" w:rsidRDefault="009551CB">
            <w:pPr>
              <w:rPr>
                <w:rFonts w:ascii="Verdana" w:hAnsi="Verdana" w:cs="Arial"/>
                <w:sz w:val="22"/>
                <w:szCs w:val="22"/>
              </w:rPr>
            </w:pPr>
          </w:p>
        </w:tc>
        <w:tc>
          <w:tcPr>
            <w:tcW w:w="250" w:type="dxa"/>
            <w:shd w:val="clear" w:color="auto" w:fill="auto"/>
          </w:tcPr>
          <w:p w:rsidR="009551CB" w:rsidRPr="005D4362" w:rsidRDefault="009551CB">
            <w:pPr>
              <w:rPr>
                <w:rFonts w:ascii="Verdana" w:hAnsi="Verdana" w:cs="Arial"/>
                <w:sz w:val="20"/>
              </w:rPr>
            </w:pPr>
          </w:p>
        </w:tc>
        <w:tc>
          <w:tcPr>
            <w:tcW w:w="1557" w:type="dxa"/>
            <w:shd w:val="clear" w:color="auto" w:fill="auto"/>
          </w:tcPr>
          <w:p w:rsidR="009551CB" w:rsidRPr="005D4362" w:rsidRDefault="009551CB">
            <w:pPr>
              <w:rPr>
                <w:rFonts w:ascii="Verdana" w:hAnsi="Verdana" w:cs="Arial"/>
                <w:b/>
                <w:sz w:val="20"/>
                <w:szCs w:val="20"/>
              </w:rPr>
            </w:pPr>
            <w:r w:rsidRPr="005D4362">
              <w:rPr>
                <w:rFonts w:ascii="Verdana" w:hAnsi="Verdana" w:cs="Arial"/>
                <w:b/>
                <w:sz w:val="20"/>
                <w:szCs w:val="20"/>
              </w:rPr>
              <w:t>Person Responsible</w:t>
            </w: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bCs/>
                <w:sz w:val="22"/>
                <w:szCs w:val="22"/>
              </w:rPr>
            </w:pPr>
            <w:r w:rsidRPr="005D4362">
              <w:rPr>
                <w:rFonts w:ascii="Verdana" w:hAnsi="Verdana" w:cs="Arial"/>
                <w:b/>
                <w:bCs/>
                <w:sz w:val="22"/>
                <w:szCs w:val="22"/>
              </w:rPr>
              <w:t>Telephones</w:t>
            </w:r>
            <w:r w:rsidR="007E074B" w:rsidRPr="005D4362">
              <w:rPr>
                <w:rFonts w:ascii="Verdana" w:hAnsi="Verdana" w:cs="Arial"/>
                <w:b/>
                <w:bCs/>
                <w:sz w:val="22"/>
                <w:szCs w:val="22"/>
              </w:rPr>
              <w:t xml:space="preserve"> (Landlines)</w:t>
            </w:r>
          </w:p>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It is recognised that there will be occasions when employees need to make short, personal telephone calls on Company telephones, both fixed lines and mobiles, in order to deal with occasional and urgent domestic crises.  (It should be emphasised that calls to mobile telephone numbers are particularly expensive and that these should be kept to an absolute minimum).</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Where possible, these urgent calls should be made when they do not interfere with work requirements.  Equally, it is legitimate to receive personal calls about domestic crises and arrangements and occasional, short, non-urgent calls can be received providing they do not interfere with work requirements.</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For employees who work shifts, calls should not interfere, either by their timing or extent, with the performance of the employee’s duties.  The same rule applies to personal use of email and the Internet, set out below, for this category of staff.</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The use of Company telephones for either private or Company purposes, which are in any way excessive (i.e. outside of the limits defined above), defamatory, obscene or otherwise inappropriate, will be treated as misconduct under the appropriate Disciplinary Procedure.  In serious cases this could be regarded as gross misconduct and will lead to dismissal.</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 xml:space="preserve">Where the Company has grounds to suspect possible misuse of its telecommunications, it reserves the right to monitor </w:t>
            </w:r>
            <w:r w:rsidRPr="005D4362">
              <w:rPr>
                <w:rFonts w:ascii="Verdana" w:hAnsi="Verdana" w:cs="Arial"/>
                <w:sz w:val="22"/>
                <w:szCs w:val="22"/>
              </w:rPr>
              <w:lastRenderedPageBreak/>
              <w:t>the destination and length of out-going calls and the source and length of incoming calls.  This would not normally involve the surveillance of calls but in certain rare circumstances, where there are reasonable grounds to suspect serious misconduct, the Company reserves the right to record calls.</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bCs/>
                <w:sz w:val="22"/>
                <w:szCs w:val="22"/>
              </w:rPr>
            </w:pPr>
            <w:r w:rsidRPr="005D4362">
              <w:rPr>
                <w:rFonts w:ascii="Verdana" w:hAnsi="Verdana" w:cs="Arial"/>
                <w:b/>
                <w:bCs/>
                <w:sz w:val="22"/>
                <w:szCs w:val="22"/>
              </w:rPr>
              <w:t>Mobile telephones</w:t>
            </w:r>
          </w:p>
          <w:p w:rsidR="009551CB" w:rsidRPr="005D4362" w:rsidRDefault="009551CB" w:rsidP="00CF6038">
            <w:pPr>
              <w:tabs>
                <w:tab w:val="left" w:pos="576"/>
              </w:tabs>
              <w:spacing w:after="120"/>
              <w:jc w:val="both"/>
              <w:rPr>
                <w:rFonts w:ascii="Verdana" w:hAnsi="Verdana" w:cs="Arial"/>
                <w:bCs/>
                <w:sz w:val="22"/>
                <w:szCs w:val="22"/>
              </w:rPr>
            </w:pPr>
            <w:r w:rsidRPr="005D4362">
              <w:rPr>
                <w:rFonts w:ascii="Verdana" w:hAnsi="Verdana" w:cs="Arial"/>
                <w:bCs/>
                <w:sz w:val="22"/>
                <w:szCs w:val="22"/>
              </w:rPr>
              <w:t>This company believes that mobile telephones used in the correct and safe manner can have a positive benefit to the operation of the company and to the health and safety of its employees.  Use of mobile telephones in the wrong place, at the wrong time or in the wrong circumstances can cause accidents and interrupt activities to the detriment of the company, employees and others.  The company will allow the sensible use of mobile telephones, either those provided by the company or an individuals’ own mobile telephone, provided the basic health and safety rules and sensible use are followed.</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Keep the use of mobile telephones to a minimum, i.e. few calls and of short duration.</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Don’t press the phone tight against your ear.  Try to hold it away from the side of the head and alternate between left and right ear.</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If you have a cardiac pacemaker or other medically implanted device, seek medical advice before using a mobile phone.</w:t>
            </w:r>
          </w:p>
          <w:p w:rsidR="009551CB" w:rsidRPr="005D4362" w:rsidRDefault="007E074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 xml:space="preserve">Do not receive or make calls on the handset whist the car is in motion – it is a criminal offence to do so.  </w:t>
            </w:r>
            <w:r w:rsidR="009551CB" w:rsidRPr="005D4362">
              <w:rPr>
                <w:rFonts w:ascii="Verdana" w:hAnsi="Verdana" w:cs="Arial"/>
                <w:bCs/>
                <w:sz w:val="22"/>
                <w:szCs w:val="22"/>
              </w:rPr>
              <w:t xml:space="preserve">You </w:t>
            </w:r>
            <w:r w:rsidR="009551CB" w:rsidRPr="005D4362">
              <w:rPr>
                <w:rFonts w:ascii="Verdana" w:hAnsi="Verdana" w:cs="Arial"/>
                <w:b/>
                <w:bCs/>
                <w:sz w:val="22"/>
                <w:szCs w:val="22"/>
              </w:rPr>
              <w:t>MUST</w:t>
            </w:r>
            <w:r w:rsidR="009551CB" w:rsidRPr="005D4362">
              <w:rPr>
                <w:rFonts w:ascii="Verdana" w:hAnsi="Verdana" w:cs="Arial"/>
                <w:bCs/>
                <w:sz w:val="22"/>
                <w:szCs w:val="22"/>
              </w:rPr>
              <w:t xml:space="preserve"> exercise proper control of your vehicle at all times.</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 xml:space="preserve">The use of a hands-free set incorporating earpiece and microphone in vehicles is not permitted whilst the vehicle is in motion. </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Never use a hand-held mobile telephone or microphone when driving - find a safe place to stop first.</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Using “hands-free” equipment is also likely to distract you - find a safe place to stop first.</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 xml:space="preserve">You </w:t>
            </w:r>
            <w:r w:rsidRPr="005D4362">
              <w:rPr>
                <w:rFonts w:ascii="Verdana" w:hAnsi="Verdana" w:cs="Arial"/>
                <w:b/>
                <w:bCs/>
                <w:sz w:val="22"/>
                <w:szCs w:val="22"/>
              </w:rPr>
              <w:t>MUST NOT</w:t>
            </w:r>
            <w:r w:rsidRPr="005D4362">
              <w:rPr>
                <w:rFonts w:ascii="Verdana" w:hAnsi="Verdana" w:cs="Arial"/>
                <w:bCs/>
                <w:sz w:val="22"/>
                <w:szCs w:val="22"/>
              </w:rPr>
              <w:t xml:space="preserve"> stop on the hard shoulder of a motorway to answer or make a call, except in an emergency.</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Switch off your phone when at a petrol refuelling station or when near to any other potentially flammable atmosphere.</w:t>
            </w:r>
          </w:p>
          <w:p w:rsidR="009551CB" w:rsidRPr="005D4362" w:rsidRDefault="009551CB" w:rsidP="00CF6038">
            <w:pPr>
              <w:numPr>
                <w:ilvl w:val="0"/>
                <w:numId w:val="10"/>
              </w:numPr>
              <w:spacing w:after="120"/>
              <w:jc w:val="both"/>
              <w:rPr>
                <w:rFonts w:ascii="Verdana" w:hAnsi="Verdana" w:cs="Arial"/>
                <w:bCs/>
                <w:sz w:val="22"/>
                <w:szCs w:val="22"/>
              </w:rPr>
            </w:pPr>
            <w:r w:rsidRPr="005D4362">
              <w:rPr>
                <w:rFonts w:ascii="Verdana" w:hAnsi="Verdana" w:cs="Arial"/>
                <w:bCs/>
                <w:sz w:val="22"/>
                <w:szCs w:val="22"/>
              </w:rPr>
              <w:t>Switch off your phone when visiting a hospital ward or inside an aircraft unless otherwise directed.</w:t>
            </w:r>
          </w:p>
          <w:p w:rsidR="009551CB" w:rsidRPr="005D4362" w:rsidRDefault="009551CB" w:rsidP="00CF6038">
            <w:pPr>
              <w:tabs>
                <w:tab w:val="left" w:pos="318"/>
              </w:tabs>
              <w:spacing w:after="120"/>
              <w:jc w:val="both"/>
              <w:rPr>
                <w:rFonts w:ascii="Verdana" w:hAnsi="Verdana" w:cs="Arial"/>
                <w:b/>
                <w:bCs/>
                <w:sz w:val="22"/>
                <w:szCs w:val="22"/>
              </w:rPr>
            </w:pPr>
            <w:r w:rsidRPr="005D4362">
              <w:rPr>
                <w:rFonts w:ascii="Verdana" w:hAnsi="Verdana" w:cs="Arial"/>
                <w:bCs/>
                <w:sz w:val="22"/>
                <w:szCs w:val="22"/>
              </w:rPr>
              <w:t>(Please refer to Procedure/Guidance ‘Mobile Phones’</w:t>
            </w:r>
            <w:r w:rsidR="00A534AC" w:rsidRPr="005D4362">
              <w:rPr>
                <w:rFonts w:ascii="Verdana" w:hAnsi="Verdana" w:cs="Arial"/>
                <w:bCs/>
                <w:sz w:val="22"/>
                <w:szCs w:val="22"/>
              </w:rPr>
              <w:t xml:space="preserve"> [which is filed in the  Health and Safety </w:t>
            </w:r>
            <w:r w:rsidRPr="005D4362">
              <w:rPr>
                <w:rFonts w:ascii="Verdana" w:hAnsi="Verdana" w:cs="Arial"/>
                <w:bCs/>
                <w:sz w:val="22"/>
                <w:szCs w:val="22"/>
              </w:rPr>
              <w:t>Section])</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bCs/>
                <w:sz w:val="22"/>
                <w:szCs w:val="22"/>
              </w:rPr>
            </w:pPr>
            <w:r w:rsidRPr="005D4362">
              <w:rPr>
                <w:rFonts w:ascii="Verdana" w:hAnsi="Verdana" w:cs="Arial"/>
                <w:b/>
                <w:bCs/>
                <w:sz w:val="22"/>
                <w:szCs w:val="22"/>
              </w:rPr>
              <w:t>Email</w:t>
            </w:r>
          </w:p>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As with telephones it is recognised that employees can use email for personal means in certain circumstances.  Email should be treated like any other form of written communication and as such, what is normally regarded as unacceptable in a letter or memorandum is equally unacceptable in an email communication.  It is legitimate for employees to make use of email for personal and urgent reasons to send messages that are in no sense obscene or defamatory or otherwise inappropriate.  Use of such facilities must not interfere or distract, either by its timing or extent, with the performance of the employee’s duties.</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 xml:space="preserve">Employees should be careful that before they open any attachment to a personal email they receive, they are confident that the content is in no sense obscene or defamatory.  </w:t>
            </w:r>
            <w:r w:rsidR="007E074B" w:rsidRPr="005D4362">
              <w:rPr>
                <w:rFonts w:ascii="Verdana" w:hAnsi="Verdana" w:cs="Arial"/>
                <w:sz w:val="22"/>
                <w:szCs w:val="22"/>
              </w:rPr>
              <w:t xml:space="preserve">Never open an email unless you know the source and believe it to be from a responsible source – emails and attachments are a source of viruses!  </w:t>
            </w:r>
            <w:r w:rsidRPr="005D4362">
              <w:rPr>
                <w:rFonts w:ascii="Verdana" w:hAnsi="Verdana" w:cs="Arial"/>
                <w:sz w:val="22"/>
                <w:szCs w:val="22"/>
              </w:rPr>
              <w:t>Equally, if an employee receives an obscene or defamatory email, whether unwittingly or otherwise and from whatever source, s/he should not intentionally forward the email to any other address, except to an investigator nominated by the Company</w:t>
            </w:r>
            <w:r w:rsidRPr="005D4362">
              <w:rPr>
                <w:rStyle w:val="FootnoteReference"/>
                <w:rFonts w:ascii="Verdana" w:hAnsi="Verdana" w:cs="Arial"/>
                <w:sz w:val="22"/>
                <w:szCs w:val="22"/>
              </w:rPr>
              <w:footnoteReference w:id="1"/>
            </w:r>
            <w:r w:rsidRPr="005D4362">
              <w:rPr>
                <w:rFonts w:ascii="Verdana" w:hAnsi="Verdana" w:cs="Arial"/>
                <w:sz w:val="22"/>
                <w:szCs w:val="22"/>
              </w:rPr>
              <w:t>.  The matter should also b</w:t>
            </w:r>
            <w:r w:rsidR="00F9340C" w:rsidRPr="005D4362">
              <w:rPr>
                <w:rFonts w:ascii="Verdana" w:hAnsi="Verdana" w:cs="Arial"/>
                <w:sz w:val="22"/>
                <w:szCs w:val="22"/>
              </w:rPr>
              <w:t>e reported to the local users’ Line M</w:t>
            </w:r>
            <w:r w:rsidRPr="005D4362">
              <w:rPr>
                <w:rFonts w:ascii="Verdana" w:hAnsi="Verdana" w:cs="Arial"/>
                <w:sz w:val="22"/>
                <w:szCs w:val="22"/>
              </w:rPr>
              <w:t>anager.</w:t>
            </w:r>
          </w:p>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 xml:space="preserve">Attachments must not be opened unless the member of staff knows the source. </w:t>
            </w:r>
            <w:r w:rsidR="00DF0B50" w:rsidRPr="005D4362">
              <w:rPr>
                <w:rFonts w:ascii="Verdana" w:hAnsi="Verdana" w:cs="Arial"/>
                <w:sz w:val="22"/>
                <w:szCs w:val="22"/>
              </w:rPr>
              <w:t xml:space="preserve"> </w:t>
            </w:r>
            <w:r w:rsidRPr="005D4362">
              <w:rPr>
                <w:rFonts w:ascii="Verdana" w:hAnsi="Verdana" w:cs="Arial"/>
                <w:sz w:val="22"/>
                <w:szCs w:val="22"/>
              </w:rPr>
              <w:t xml:space="preserve">Such attachments can be a source of virus infection. </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The use of email for either personal or Company purposes to send or forward messages or attachments which are in any way defamatory, obscene or otherwise inappropriate will be treated as misconduct under the appropriate disciplinary procedure.  In serious cases this could be regarded as gross misconduct and will lead to dismissal.</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The Company reserves the right to monitor the destination, source and content of email to and from a particular address (see below).</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Where an employee has a work allocated email address the Company also reserves the right to access an employee’s email account in her/his unexpected or prolonged absence (e.g. due to sickness) in order to allow it to continue to undertake the employee’s normal role.  In normal circumstances, where it is possible to contact the employee concerned, this will be with his</w:t>
            </w:r>
            <w:r w:rsidR="00F9340C" w:rsidRPr="005D4362">
              <w:rPr>
                <w:rFonts w:ascii="Verdana" w:hAnsi="Verdana" w:cs="Arial"/>
                <w:sz w:val="22"/>
                <w:szCs w:val="22"/>
              </w:rPr>
              <w:t>/her</w:t>
            </w:r>
            <w:r w:rsidRPr="005D4362">
              <w:rPr>
                <w:rFonts w:ascii="Verdana" w:hAnsi="Verdana" w:cs="Arial"/>
                <w:sz w:val="22"/>
                <w:szCs w:val="22"/>
              </w:rPr>
              <w:t xml:space="preserve"> prior knowledge.</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Employees using the email system should give particular att</w:t>
            </w:r>
            <w:r w:rsidR="00F9340C" w:rsidRPr="005D4362">
              <w:rPr>
                <w:rFonts w:ascii="Verdana" w:hAnsi="Verdana" w:cs="Arial"/>
                <w:sz w:val="22"/>
                <w:szCs w:val="22"/>
              </w:rPr>
              <w:t>ention to the following points:</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b/>
                <w:bCs/>
                <w:sz w:val="22"/>
                <w:szCs w:val="22"/>
              </w:rPr>
              <w:t>The standard of presentation -</w:t>
            </w:r>
            <w:r w:rsidRPr="005D4362">
              <w:rPr>
                <w:rFonts w:ascii="Verdana" w:hAnsi="Verdana" w:cs="Arial"/>
                <w:sz w:val="22"/>
                <w:szCs w:val="22"/>
              </w:rPr>
              <w:t xml:space="preserve"> The style and content of an e-mail message must be consistent with the standards </w:t>
            </w:r>
            <w:r w:rsidRPr="005D4362">
              <w:rPr>
                <w:rFonts w:ascii="Verdana" w:hAnsi="Verdana" w:cs="Arial"/>
                <w:sz w:val="22"/>
                <w:szCs w:val="22"/>
              </w:rPr>
              <w:lastRenderedPageBreak/>
              <w:t>that this company expects from written communications.</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b/>
                <w:bCs/>
                <w:sz w:val="22"/>
                <w:szCs w:val="22"/>
              </w:rPr>
              <w:t>The extent of circulation</w:t>
            </w:r>
            <w:r w:rsidRPr="005D4362">
              <w:rPr>
                <w:rFonts w:ascii="Verdana" w:hAnsi="Verdana" w:cs="Arial"/>
                <w:sz w:val="22"/>
                <w:szCs w:val="22"/>
              </w:rPr>
              <w:t xml:space="preserve"> - Email messages should only be sent to those employees for whom they are particularly relevant.</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b/>
                <w:bCs/>
                <w:sz w:val="22"/>
                <w:szCs w:val="22"/>
              </w:rPr>
              <w:t>The appropriateness of email -</w:t>
            </w:r>
            <w:r w:rsidRPr="005D4362">
              <w:rPr>
                <w:rFonts w:ascii="Verdana" w:hAnsi="Verdana" w:cs="Arial"/>
                <w:sz w:val="22"/>
                <w:szCs w:val="22"/>
              </w:rPr>
              <w:t xml:space="preserve"> Email should not be used as a substitute for face-to-face communication.  “Flame-mails” (e-mails that are abusive) can be a source of stress and damage work relationships.  Hasty messages, sent without proper consideration, can cause unnecessary misunderstandings.</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b/>
                <w:bCs/>
                <w:sz w:val="22"/>
                <w:szCs w:val="22"/>
              </w:rPr>
              <w:t xml:space="preserve">The visibility of email - </w:t>
            </w:r>
            <w:r w:rsidRPr="005D4362">
              <w:rPr>
                <w:rFonts w:ascii="Verdana" w:hAnsi="Verdana" w:cs="Arial"/>
                <w:sz w:val="22"/>
                <w:szCs w:val="22"/>
              </w:rPr>
              <w:t>If the message is confidential, the user must ensure that the necessary steps are taken to protect confidentiality.  The company may be liable for any defamatory information circulated either within the company or to external users of the system.</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b/>
                <w:bCs/>
                <w:sz w:val="22"/>
                <w:szCs w:val="22"/>
              </w:rPr>
              <w:t xml:space="preserve">Email contracts - </w:t>
            </w:r>
            <w:r w:rsidRPr="005D4362">
              <w:rPr>
                <w:rFonts w:ascii="Verdana" w:hAnsi="Verdana" w:cs="Arial"/>
                <w:sz w:val="22"/>
                <w:szCs w:val="22"/>
              </w:rPr>
              <w:t>Note that offers or contracts transmitted via e-mail are as legally binding on the company as those sent on paper.</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b/>
                <w:bCs/>
                <w:sz w:val="22"/>
                <w:szCs w:val="22"/>
              </w:rPr>
              <w:t>Email Signatures -</w:t>
            </w:r>
            <w:r w:rsidRPr="005D4362">
              <w:rPr>
                <w:rFonts w:ascii="Verdana" w:hAnsi="Verdana" w:cs="Arial"/>
                <w:sz w:val="22"/>
                <w:szCs w:val="22"/>
              </w:rPr>
              <w:t xml:space="preserve"> All company emails sent, as from 1 January 2007 must carry a ‘signature’ that states (example):</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sz w:val="22"/>
                <w:szCs w:val="22"/>
              </w:rPr>
              <w:t>This message is intended only for the use of the person(s) ("Intended Recipient") to whom it is addressed.  It may contain confidential or proprietary information. If you receive this message in error, please notify us and remove it from your system.  You must not use or disclose any part of this message if you are not the intended recipient.  Any views expressed in this message are the views of the individual sender, except where the message states otherwise.  We may monitor all email communication.  If you contact us by e-mail, we may store your name and address to facilitate communicati</w:t>
            </w:r>
            <w:bookmarkStart w:id="0" w:name="_GoBack"/>
            <w:bookmarkEnd w:id="0"/>
            <w:r w:rsidRPr="005D4362">
              <w:rPr>
                <w:rFonts w:ascii="Verdana" w:hAnsi="Verdana" w:cs="Arial"/>
                <w:sz w:val="22"/>
                <w:szCs w:val="22"/>
              </w:rPr>
              <w:t>on.  We take reasonable precautions to ensure our emails are virus free.  However, we cannot accept responsibility for any virus transmitted by us and recommend that you subject any incoming email to your own virus checking procedures.</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sz w:val="22"/>
                <w:szCs w:val="22"/>
              </w:rPr>
              <w:t>The signature is not required to ‘reply’ or ‘forward’ emails. For an up to date ‘agreed’ signature text the Group Business Manager should be consulted.</w:t>
            </w:r>
          </w:p>
          <w:p w:rsidR="00F9340C" w:rsidRPr="005D4362" w:rsidRDefault="00F9340C" w:rsidP="00CF6038">
            <w:pPr>
              <w:tabs>
                <w:tab w:val="left" w:pos="576"/>
              </w:tabs>
              <w:spacing w:after="120"/>
              <w:jc w:val="both"/>
              <w:rPr>
                <w:rFonts w:ascii="Verdana" w:hAnsi="Verdana" w:cs="Arial"/>
                <w:sz w:val="22"/>
                <w:szCs w:val="22"/>
              </w:rPr>
            </w:pPr>
            <w:r w:rsidRPr="005D4362">
              <w:rPr>
                <w:rFonts w:ascii="Verdana" w:hAnsi="Verdana" w:cs="Arial"/>
                <w:sz w:val="22"/>
                <w:szCs w:val="22"/>
              </w:rPr>
              <w:t>Any failure to follow these guidelines satisfactorily may result in disciplinary action, including summary dismissal.</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bCs/>
                <w:sz w:val="22"/>
                <w:szCs w:val="22"/>
              </w:rPr>
            </w:pPr>
            <w:r w:rsidRPr="005D4362">
              <w:rPr>
                <w:rFonts w:ascii="Verdana" w:hAnsi="Verdana" w:cs="Arial"/>
                <w:b/>
                <w:bCs/>
                <w:sz w:val="22"/>
                <w:szCs w:val="22"/>
              </w:rPr>
              <w:t>Use of the Internet</w:t>
            </w:r>
          </w:p>
          <w:p w:rsidR="009551CB" w:rsidRPr="005D4362" w:rsidRDefault="009551CB" w:rsidP="003D385E">
            <w:pPr>
              <w:tabs>
                <w:tab w:val="left" w:pos="576"/>
              </w:tabs>
              <w:spacing w:after="120"/>
              <w:jc w:val="both"/>
              <w:rPr>
                <w:rFonts w:ascii="Verdana" w:hAnsi="Verdana" w:cs="Arial"/>
                <w:sz w:val="22"/>
                <w:szCs w:val="22"/>
              </w:rPr>
            </w:pPr>
            <w:r w:rsidRPr="005D4362">
              <w:rPr>
                <w:rFonts w:ascii="Verdana" w:hAnsi="Verdana" w:cs="Arial"/>
                <w:sz w:val="22"/>
                <w:szCs w:val="22"/>
              </w:rPr>
              <w:t xml:space="preserve">The primary reason for the provision of Internet access is for the easy retrieval of information for research purposes in order to enhance the ability of its staff to undertake their company role.  It is recognised that there can be occasions where it is necessary for the employee to make occasional use of the Internet for personal reasons such as a private banking transaction, rather than having to spend time out </w:t>
            </w:r>
            <w:r w:rsidRPr="005D4362">
              <w:rPr>
                <w:rFonts w:ascii="Verdana" w:hAnsi="Verdana" w:cs="Arial"/>
                <w:sz w:val="22"/>
                <w:szCs w:val="22"/>
              </w:rPr>
              <w:lastRenderedPageBreak/>
              <w:t xml:space="preserve">of the office.  Examples of this might include an urgent bank transaction.  As long as such personal use is urgent and does not interfere with work duties then such use is permissible.  </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Unauthorised use of the Internet will be treated as misconduct under the appropriate disciplinary procedure.  In serious cases it could be treated as gross misconduct and could lead to dismissal.</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The Company reserves the right to monitor the use of the Internet from Personal Computers.</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sz w:val="22"/>
                <w:szCs w:val="22"/>
              </w:rPr>
            </w:pPr>
            <w:r w:rsidRPr="005D4362">
              <w:rPr>
                <w:rFonts w:ascii="Verdana" w:hAnsi="Verdana" w:cs="Arial"/>
                <w:sz w:val="22"/>
                <w:szCs w:val="22"/>
              </w:rPr>
              <w:t>Staff who suspect misuse should in the first instance advise, in confidence, their Line Manager.</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sz w:val="22"/>
                <w:szCs w:val="22"/>
              </w:rPr>
            </w:pPr>
            <w:r w:rsidRPr="005D4362">
              <w:rPr>
                <w:rFonts w:ascii="Verdana" w:hAnsi="Verdana" w:cs="Arial"/>
                <w:b/>
                <w:sz w:val="22"/>
                <w:szCs w:val="22"/>
              </w:rPr>
              <w:t xml:space="preserve">Blogging (Web Log), Social Networking Sites, i.e. Facebook, </w:t>
            </w:r>
            <w:r w:rsidR="007C715B" w:rsidRPr="005D4362">
              <w:rPr>
                <w:rFonts w:ascii="Verdana" w:hAnsi="Verdana" w:cs="Arial"/>
                <w:b/>
                <w:sz w:val="22"/>
                <w:szCs w:val="22"/>
              </w:rPr>
              <w:t>T</w:t>
            </w:r>
            <w:r w:rsidR="007E074B" w:rsidRPr="005D4362">
              <w:rPr>
                <w:rFonts w:ascii="Verdana" w:hAnsi="Verdana" w:cs="Arial"/>
                <w:b/>
                <w:sz w:val="22"/>
                <w:szCs w:val="22"/>
              </w:rPr>
              <w:t xml:space="preserve">witter, </w:t>
            </w:r>
            <w:proofErr w:type="spellStart"/>
            <w:r w:rsidRPr="005D4362">
              <w:rPr>
                <w:rFonts w:ascii="Verdana" w:hAnsi="Verdana" w:cs="Arial"/>
                <w:b/>
                <w:sz w:val="22"/>
                <w:szCs w:val="22"/>
              </w:rPr>
              <w:t>Bebo</w:t>
            </w:r>
            <w:proofErr w:type="spellEnd"/>
            <w:r w:rsidRPr="005D4362">
              <w:rPr>
                <w:rFonts w:ascii="Verdana" w:hAnsi="Verdana" w:cs="Arial"/>
                <w:b/>
                <w:sz w:val="22"/>
                <w:szCs w:val="22"/>
              </w:rPr>
              <w:t xml:space="preserve"> and Myspace and Forums</w:t>
            </w:r>
          </w:p>
          <w:p w:rsidR="009551CB" w:rsidRPr="005D4362" w:rsidRDefault="009551CB" w:rsidP="00CF6038">
            <w:pPr>
              <w:tabs>
                <w:tab w:val="left" w:pos="576"/>
              </w:tabs>
              <w:spacing w:after="120"/>
              <w:jc w:val="both"/>
              <w:rPr>
                <w:rFonts w:ascii="Verdana" w:hAnsi="Verdana" w:cs="Arial"/>
                <w:b/>
                <w:sz w:val="22"/>
                <w:szCs w:val="22"/>
              </w:rPr>
            </w:pPr>
            <w:r w:rsidRPr="005D4362">
              <w:rPr>
                <w:rFonts w:ascii="Verdana" w:hAnsi="Verdana" w:cs="Arial"/>
                <w:b/>
                <w:sz w:val="22"/>
                <w:szCs w:val="22"/>
              </w:rPr>
              <w:t>In the workplace</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1.</w:t>
            </w:r>
            <w:r w:rsidRPr="005D4362">
              <w:rPr>
                <w:rFonts w:ascii="Verdana" w:hAnsi="Verdana" w:cs="Arial"/>
                <w:sz w:val="22"/>
                <w:szCs w:val="22"/>
              </w:rPr>
              <w:tab/>
              <w:t xml:space="preserve">Employees must not access personal blog sites or social networking sites during working hours.  </w:t>
            </w:r>
            <w:smartTag w:uri="urn:schemas-microsoft-com:office:smarttags" w:element="place">
              <w:r w:rsidRPr="005D4362">
                <w:rPr>
                  <w:rFonts w:ascii="Verdana" w:hAnsi="Verdana" w:cs="Arial"/>
                  <w:sz w:val="22"/>
                  <w:szCs w:val="22"/>
                </w:rPr>
                <w:t>Access</w:t>
              </w:r>
            </w:smartTag>
            <w:r w:rsidRPr="005D4362">
              <w:rPr>
                <w:rFonts w:ascii="Verdana" w:hAnsi="Verdana" w:cs="Arial"/>
                <w:sz w:val="22"/>
                <w:szCs w:val="22"/>
              </w:rPr>
              <w:t xml:space="preserve"> using the company’s IT systems is restricted to lunch/rest breaks and before and after the working day, unless specifi</w:t>
            </w:r>
            <w:r w:rsidR="00F9340C" w:rsidRPr="005D4362">
              <w:rPr>
                <w:rFonts w:ascii="Verdana" w:hAnsi="Verdana" w:cs="Arial"/>
                <w:sz w:val="22"/>
                <w:szCs w:val="22"/>
              </w:rPr>
              <w:t>c permission is granted by the L</w:t>
            </w:r>
            <w:r w:rsidRPr="005D4362">
              <w:rPr>
                <w:rFonts w:ascii="Verdana" w:hAnsi="Verdana" w:cs="Arial"/>
                <w:sz w:val="22"/>
                <w:szCs w:val="22"/>
              </w:rPr>
              <w:t xml:space="preserve">ine </w:t>
            </w:r>
            <w:r w:rsidR="00F9340C" w:rsidRPr="005D4362">
              <w:rPr>
                <w:rFonts w:ascii="Verdana" w:hAnsi="Verdana" w:cs="Arial"/>
                <w:sz w:val="22"/>
                <w:szCs w:val="22"/>
              </w:rPr>
              <w:t>M</w:t>
            </w:r>
            <w:r w:rsidRPr="005D4362">
              <w:rPr>
                <w:rFonts w:ascii="Verdana" w:hAnsi="Verdana" w:cs="Arial"/>
                <w:sz w:val="22"/>
                <w:szCs w:val="22"/>
              </w:rPr>
              <w:t>anager.</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2.</w:t>
            </w:r>
            <w:r w:rsidRPr="005D4362">
              <w:rPr>
                <w:rFonts w:ascii="Verdana" w:hAnsi="Verdana" w:cs="Arial"/>
                <w:sz w:val="22"/>
                <w:szCs w:val="22"/>
              </w:rPr>
              <w:tab/>
              <w:t>Employees must not post information on their personal blogs/social networking sites which is confidential to the company, its suppliers or customers (including internal customers - i.e</w:t>
            </w:r>
            <w:r w:rsidR="00F9340C" w:rsidRPr="005D4362">
              <w:rPr>
                <w:rFonts w:ascii="Verdana" w:hAnsi="Verdana" w:cs="Arial"/>
                <w:sz w:val="22"/>
                <w:szCs w:val="22"/>
              </w:rPr>
              <w:t>.</w:t>
            </w:r>
            <w:r w:rsidRPr="005D4362">
              <w:rPr>
                <w:rFonts w:ascii="Verdana" w:hAnsi="Verdana" w:cs="Arial"/>
                <w:sz w:val="22"/>
                <w:szCs w:val="22"/>
              </w:rPr>
              <w:t xml:space="preserve"> young people, staff etc).</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3.</w:t>
            </w:r>
            <w:r w:rsidRPr="005D4362">
              <w:rPr>
                <w:rFonts w:ascii="Verdana" w:hAnsi="Verdana" w:cs="Arial"/>
                <w:sz w:val="22"/>
                <w:szCs w:val="22"/>
              </w:rPr>
              <w:tab/>
              <w:t>Employees must refrain from making references on their personal blog/social networking sites to the company, its employees, its customers and its suppliers.</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4.</w:t>
            </w:r>
            <w:r w:rsidRPr="005D4362">
              <w:rPr>
                <w:rFonts w:ascii="Verdana" w:hAnsi="Verdana" w:cs="Arial"/>
                <w:sz w:val="22"/>
                <w:szCs w:val="22"/>
              </w:rPr>
              <w:tab/>
              <w:t>Employees must not post entries on their personal blogs/social networking sites which are derogatory, defamatory, discriminatory or offensive in any way, or which could bring the company into disrepute.</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5.</w:t>
            </w:r>
            <w:r w:rsidRPr="005D4362">
              <w:rPr>
                <w:rFonts w:ascii="Verdana" w:hAnsi="Verdana" w:cs="Arial"/>
                <w:sz w:val="22"/>
                <w:szCs w:val="22"/>
              </w:rPr>
              <w:tab/>
              <w:t>Employees should be aware that blogs may create documents which the courts can order to be disclosed for use in litigation.  Consequently, employees will be assumed to have written any contentious items unless they can prove definitively that they have not done so.</w:t>
            </w:r>
          </w:p>
          <w:p w:rsidR="0052188A"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6.</w:t>
            </w:r>
            <w:r w:rsidRPr="005D4362">
              <w:rPr>
                <w:rFonts w:ascii="Verdana" w:hAnsi="Verdana" w:cs="Arial"/>
                <w:sz w:val="22"/>
                <w:szCs w:val="22"/>
              </w:rPr>
              <w:tab/>
              <w:t xml:space="preserve">The company will monitor its IT systems as is deemed necessary in order to prevent inappropriate usage.  Hard copy of blog entries will be used in any </w:t>
            </w:r>
            <w:r w:rsidR="0052188A" w:rsidRPr="005D4362">
              <w:rPr>
                <w:rFonts w:ascii="Verdana" w:hAnsi="Verdana" w:cs="Arial"/>
                <w:sz w:val="22"/>
                <w:szCs w:val="22"/>
              </w:rPr>
              <w:t>D</w:t>
            </w:r>
            <w:r w:rsidRPr="005D4362">
              <w:rPr>
                <w:rFonts w:ascii="Verdana" w:hAnsi="Verdana" w:cs="Arial"/>
                <w:sz w:val="22"/>
                <w:szCs w:val="22"/>
              </w:rPr>
              <w:t>isciplinary proceedings.</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sz w:val="22"/>
                <w:szCs w:val="22"/>
              </w:rPr>
            </w:pPr>
            <w:r w:rsidRPr="005D4362">
              <w:rPr>
                <w:rFonts w:ascii="Verdana" w:hAnsi="Verdana" w:cs="Arial"/>
                <w:b/>
                <w:sz w:val="22"/>
                <w:szCs w:val="22"/>
              </w:rPr>
              <w:t>Outside the workplace</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1.</w:t>
            </w:r>
            <w:r w:rsidRPr="005D4362">
              <w:rPr>
                <w:rFonts w:ascii="Verdana" w:hAnsi="Verdana" w:cs="Arial"/>
                <w:sz w:val="22"/>
                <w:szCs w:val="22"/>
              </w:rPr>
              <w:tab/>
              <w:t>Employees must not make reference to the company, its customers or its employees in personal blogs/social networking sites.</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2.</w:t>
            </w:r>
            <w:r w:rsidRPr="005D4362">
              <w:rPr>
                <w:rFonts w:ascii="Verdana" w:hAnsi="Verdana" w:cs="Arial"/>
                <w:sz w:val="22"/>
                <w:szCs w:val="22"/>
              </w:rPr>
              <w:tab/>
              <w:t xml:space="preserve">Offensive, defamatory or inappropriate comments </w:t>
            </w:r>
            <w:r w:rsidRPr="005D4362">
              <w:rPr>
                <w:rFonts w:ascii="Verdana" w:hAnsi="Verdana" w:cs="Arial"/>
                <w:sz w:val="22"/>
                <w:szCs w:val="22"/>
              </w:rPr>
              <w:lastRenderedPageBreak/>
              <w:t>about the company, its customers, suppliers or any of its employees that employees write in their personal blogs/social networking sites will not be tolerated.</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3.</w:t>
            </w:r>
            <w:r w:rsidRPr="005D4362">
              <w:rPr>
                <w:rFonts w:ascii="Verdana" w:hAnsi="Verdana" w:cs="Arial"/>
                <w:sz w:val="22"/>
                <w:szCs w:val="22"/>
              </w:rPr>
              <w:tab/>
              <w:t>Employees must not make discriminatory or offensive comments about work colleagues in their personal blogs/social networking sites.</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4.</w:t>
            </w:r>
            <w:r w:rsidRPr="005D4362">
              <w:rPr>
                <w:rFonts w:ascii="Verdana" w:hAnsi="Verdana" w:cs="Arial"/>
                <w:sz w:val="22"/>
                <w:szCs w:val="22"/>
              </w:rPr>
              <w:tab/>
              <w:t>Employees must not divulge confidential information about, or belonging to, the company, its customers or suppliers in personal blogs or on social networking sites.</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r w:rsidR="009551CB" w:rsidRPr="005D4362" w:rsidTr="00CF6038">
        <w:tblPrEx>
          <w:tblCellMar>
            <w:left w:w="115" w:type="dxa"/>
            <w:right w:w="115" w:type="dxa"/>
          </w:tblCellMar>
        </w:tblPrEx>
        <w:tc>
          <w:tcPr>
            <w:tcW w:w="588" w:type="dxa"/>
            <w:gridSpan w:val="2"/>
            <w:shd w:val="clear" w:color="auto" w:fill="auto"/>
          </w:tcPr>
          <w:p w:rsidR="009551CB" w:rsidRPr="005D4362" w:rsidRDefault="009551CB" w:rsidP="00CF6038">
            <w:pPr>
              <w:spacing w:after="120"/>
              <w:rPr>
                <w:rFonts w:ascii="Verdana" w:hAnsi="Verdana" w:cs="Arial"/>
                <w:sz w:val="22"/>
                <w:szCs w:val="22"/>
              </w:rPr>
            </w:pPr>
          </w:p>
        </w:tc>
        <w:tc>
          <w:tcPr>
            <w:tcW w:w="600" w:type="dxa"/>
            <w:shd w:val="clear" w:color="auto" w:fill="auto"/>
          </w:tcPr>
          <w:p w:rsidR="009551CB" w:rsidRPr="005D4362" w:rsidRDefault="009551CB" w:rsidP="00CF6038">
            <w:pPr>
              <w:numPr>
                <w:ilvl w:val="0"/>
                <w:numId w:val="5"/>
              </w:numPr>
              <w:spacing w:after="120"/>
              <w:rPr>
                <w:rFonts w:ascii="Verdana" w:hAnsi="Verdana" w:cs="Arial"/>
                <w:sz w:val="22"/>
                <w:szCs w:val="22"/>
              </w:rPr>
            </w:pPr>
          </w:p>
        </w:tc>
        <w:tc>
          <w:tcPr>
            <w:tcW w:w="6967" w:type="dxa"/>
            <w:gridSpan w:val="2"/>
            <w:shd w:val="clear" w:color="auto" w:fill="auto"/>
          </w:tcPr>
          <w:p w:rsidR="009551CB" w:rsidRPr="005D4362" w:rsidRDefault="009551CB" w:rsidP="00CF6038">
            <w:pPr>
              <w:tabs>
                <w:tab w:val="left" w:pos="576"/>
              </w:tabs>
              <w:spacing w:after="120"/>
              <w:jc w:val="both"/>
              <w:rPr>
                <w:rFonts w:ascii="Verdana" w:hAnsi="Verdana" w:cs="Arial"/>
                <w:b/>
                <w:sz w:val="22"/>
                <w:szCs w:val="22"/>
              </w:rPr>
            </w:pPr>
            <w:r w:rsidRPr="005D4362">
              <w:rPr>
                <w:rFonts w:ascii="Verdana" w:hAnsi="Verdana" w:cs="Arial"/>
                <w:b/>
                <w:sz w:val="22"/>
                <w:szCs w:val="22"/>
              </w:rPr>
              <w:t>Disciplinary action</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1.</w:t>
            </w:r>
            <w:r w:rsidRPr="005D4362">
              <w:rPr>
                <w:rFonts w:ascii="Verdana" w:hAnsi="Verdana" w:cs="Arial"/>
                <w:sz w:val="22"/>
                <w:szCs w:val="22"/>
              </w:rPr>
              <w:tab/>
              <w:t>Employees whose conduct breaches this policy</w:t>
            </w:r>
            <w:r w:rsidR="0052188A" w:rsidRPr="005D4362">
              <w:rPr>
                <w:rFonts w:ascii="Verdana" w:hAnsi="Verdana" w:cs="Arial"/>
                <w:sz w:val="22"/>
                <w:szCs w:val="22"/>
              </w:rPr>
              <w:t xml:space="preserve"> in any way will be subject to D</w:t>
            </w:r>
            <w:r w:rsidRPr="005D4362">
              <w:rPr>
                <w:rFonts w:ascii="Verdana" w:hAnsi="Verdana" w:cs="Arial"/>
                <w:sz w:val="22"/>
                <w:szCs w:val="22"/>
              </w:rPr>
              <w:t>isciplinary action in acco</w:t>
            </w:r>
            <w:r w:rsidR="0052188A" w:rsidRPr="005D4362">
              <w:rPr>
                <w:rFonts w:ascii="Verdana" w:hAnsi="Verdana" w:cs="Arial"/>
                <w:sz w:val="22"/>
                <w:szCs w:val="22"/>
              </w:rPr>
              <w:t>rdance with the organisation’s Disciplinary procedure up to</w:t>
            </w:r>
            <w:r w:rsidRPr="005D4362">
              <w:rPr>
                <w:rFonts w:ascii="Verdana" w:hAnsi="Verdana" w:cs="Arial"/>
                <w:sz w:val="22"/>
                <w:szCs w:val="22"/>
              </w:rPr>
              <w:t xml:space="preserve"> and including, dismissal.</w:t>
            </w:r>
          </w:p>
          <w:p w:rsidR="009551CB" w:rsidRPr="005D4362" w:rsidRDefault="009551CB" w:rsidP="00CF6038">
            <w:pPr>
              <w:tabs>
                <w:tab w:val="left" w:pos="576"/>
              </w:tabs>
              <w:spacing w:after="120"/>
              <w:ind w:left="576" w:hanging="576"/>
              <w:jc w:val="both"/>
              <w:rPr>
                <w:rFonts w:ascii="Verdana" w:hAnsi="Verdana" w:cs="Arial"/>
                <w:sz w:val="22"/>
                <w:szCs w:val="22"/>
              </w:rPr>
            </w:pPr>
            <w:r w:rsidRPr="005D4362">
              <w:rPr>
                <w:rFonts w:ascii="Verdana" w:hAnsi="Verdana" w:cs="Arial"/>
                <w:sz w:val="22"/>
                <w:szCs w:val="22"/>
              </w:rPr>
              <w:t>2.</w:t>
            </w:r>
            <w:r w:rsidRPr="005D4362">
              <w:rPr>
                <w:rFonts w:ascii="Verdana" w:hAnsi="Verdana" w:cs="Arial"/>
                <w:sz w:val="22"/>
                <w:szCs w:val="22"/>
              </w:rPr>
              <w:tab/>
              <w:t>Any blog entries or social networking site entries made inside or outside the workplace that are defamatory, derogatory, or discriminatory about the company, its customers, suppliers or employees will be investigated as gross misconduct.  If substantiated, such conduct may lead to summary dismissal after the due process of the company’s disciplinary procedure has been followed.</w:t>
            </w:r>
          </w:p>
        </w:tc>
        <w:tc>
          <w:tcPr>
            <w:tcW w:w="250" w:type="dxa"/>
            <w:tcBorders>
              <w:right w:val="dashed" w:sz="4" w:space="0" w:color="auto"/>
            </w:tcBorders>
            <w:shd w:val="clear" w:color="auto" w:fill="auto"/>
          </w:tcPr>
          <w:p w:rsidR="009551CB" w:rsidRPr="005D4362" w:rsidRDefault="009551CB">
            <w:pPr>
              <w:rPr>
                <w:rFonts w:ascii="Verdana" w:hAnsi="Verdana" w:cs="Arial"/>
              </w:rPr>
            </w:pPr>
          </w:p>
        </w:tc>
        <w:tc>
          <w:tcPr>
            <w:tcW w:w="1557" w:type="dxa"/>
            <w:tcBorders>
              <w:left w:val="dashed" w:sz="4" w:space="0" w:color="auto"/>
            </w:tcBorders>
            <w:shd w:val="clear" w:color="auto" w:fill="auto"/>
          </w:tcPr>
          <w:p w:rsidR="009551CB" w:rsidRPr="005D4362" w:rsidRDefault="009551CB">
            <w:pPr>
              <w:rPr>
                <w:rFonts w:ascii="Verdana" w:hAnsi="Verdana" w:cs="Arial"/>
                <w:sz w:val="18"/>
                <w:szCs w:val="18"/>
              </w:rPr>
            </w:pPr>
          </w:p>
        </w:tc>
      </w:tr>
    </w:tbl>
    <w:p w:rsidR="009551CB" w:rsidRPr="005D4362" w:rsidRDefault="009551CB">
      <w:pPr>
        <w:rPr>
          <w:rFonts w:ascii="Verdana" w:hAnsi="Verdana"/>
        </w:rPr>
      </w:pPr>
    </w:p>
    <w:tbl>
      <w:tblPr>
        <w:tblW w:w="0" w:type="auto"/>
        <w:tblLook w:val="01E0" w:firstRow="1" w:lastRow="1" w:firstColumn="1" w:lastColumn="1" w:noHBand="0" w:noVBand="0"/>
      </w:tblPr>
      <w:tblGrid>
        <w:gridCol w:w="588"/>
        <w:gridCol w:w="9374"/>
      </w:tblGrid>
      <w:tr w:rsidR="00FF2EDD" w:rsidRPr="005D4362" w:rsidTr="00CF6038">
        <w:trPr>
          <w:trHeight w:hRule="exact" w:val="432"/>
        </w:trPr>
        <w:tc>
          <w:tcPr>
            <w:tcW w:w="588" w:type="dxa"/>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6</w:t>
            </w:r>
          </w:p>
        </w:tc>
        <w:tc>
          <w:tcPr>
            <w:tcW w:w="9374" w:type="dxa"/>
            <w:shd w:val="clear" w:color="auto" w:fill="auto"/>
          </w:tcPr>
          <w:p w:rsidR="00FF2EDD" w:rsidRPr="005D4362" w:rsidRDefault="00FF2EDD" w:rsidP="00DE062F">
            <w:pPr>
              <w:rPr>
                <w:rFonts w:ascii="Verdana" w:hAnsi="Verdana" w:cs="Arial"/>
                <w:b/>
                <w:sz w:val="28"/>
                <w:szCs w:val="28"/>
              </w:rPr>
            </w:pPr>
            <w:r w:rsidRPr="005D4362">
              <w:rPr>
                <w:rFonts w:ascii="Verdana" w:hAnsi="Verdana" w:cs="Arial"/>
                <w:b/>
                <w:sz w:val="28"/>
                <w:szCs w:val="28"/>
              </w:rPr>
              <w:t>Documentation</w:t>
            </w:r>
          </w:p>
        </w:tc>
      </w:tr>
      <w:tr w:rsidR="00FF2EDD" w:rsidRPr="005D4362" w:rsidTr="00CF6038">
        <w:trPr>
          <w:trHeight w:hRule="exact" w:val="432"/>
        </w:trPr>
        <w:tc>
          <w:tcPr>
            <w:tcW w:w="588" w:type="dxa"/>
            <w:shd w:val="clear" w:color="auto" w:fill="auto"/>
          </w:tcPr>
          <w:p w:rsidR="00FF2EDD" w:rsidRPr="005D4362" w:rsidRDefault="00FF2EDD" w:rsidP="00DE062F">
            <w:pPr>
              <w:rPr>
                <w:rFonts w:ascii="Verdana" w:hAnsi="Verdana" w:cs="Arial"/>
                <w:sz w:val="22"/>
                <w:szCs w:val="22"/>
              </w:rPr>
            </w:pPr>
          </w:p>
        </w:tc>
        <w:tc>
          <w:tcPr>
            <w:tcW w:w="9374" w:type="dxa"/>
            <w:shd w:val="clear" w:color="auto" w:fill="auto"/>
          </w:tcPr>
          <w:p w:rsidR="00FF2EDD" w:rsidRPr="005D4362" w:rsidRDefault="0052188A" w:rsidP="00DE062F">
            <w:pPr>
              <w:rPr>
                <w:rFonts w:ascii="Verdana" w:hAnsi="Verdana" w:cs="Arial"/>
                <w:sz w:val="22"/>
                <w:szCs w:val="22"/>
              </w:rPr>
            </w:pPr>
            <w:r w:rsidRPr="005D4362">
              <w:rPr>
                <w:rFonts w:ascii="Verdana" w:hAnsi="Verdana" w:cs="Arial"/>
                <w:sz w:val="22"/>
                <w:szCs w:val="22"/>
              </w:rPr>
              <w:t>None</w:t>
            </w:r>
          </w:p>
        </w:tc>
      </w:tr>
    </w:tbl>
    <w:p w:rsidR="00FF2EDD" w:rsidRPr="005D4362" w:rsidRDefault="00FF2EDD">
      <w:pPr>
        <w:rPr>
          <w:rFonts w:ascii="Verdana" w:hAnsi="Verdana" w:cs="Arial"/>
          <w:sz w:val="22"/>
          <w:szCs w:val="22"/>
        </w:rPr>
      </w:pPr>
    </w:p>
    <w:p w:rsidR="007E074B" w:rsidRPr="005D4362" w:rsidRDefault="007E074B" w:rsidP="007E074B">
      <w:pPr>
        <w:pBdr>
          <w:bottom w:val="single" w:sz="6" w:space="1" w:color="auto"/>
        </w:pBdr>
        <w:rPr>
          <w:rFonts w:ascii="Verdana" w:hAnsi="Verdana" w:cs="Arial"/>
          <w:sz w:val="22"/>
          <w:szCs w:val="22"/>
        </w:rPr>
      </w:pPr>
    </w:p>
    <w:p w:rsidR="007E074B" w:rsidRPr="005D4362" w:rsidRDefault="007E074B" w:rsidP="007E074B">
      <w:pPr>
        <w:rPr>
          <w:rFonts w:ascii="Verdana" w:hAnsi="Verdana" w:cs="Arial"/>
          <w:sz w:val="22"/>
          <w:szCs w:val="22"/>
        </w:rPr>
      </w:pPr>
    </w:p>
    <w:p w:rsidR="007E074B" w:rsidRPr="005D4362" w:rsidRDefault="007E074B" w:rsidP="00035B6C">
      <w:pPr>
        <w:jc w:val="both"/>
        <w:rPr>
          <w:rFonts w:ascii="Verdana" w:hAnsi="Verdana" w:cs="Arial"/>
          <w:bCs/>
          <w:iCs/>
          <w:color w:val="000000" w:themeColor="text1"/>
          <w:sz w:val="22"/>
          <w:szCs w:val="22"/>
        </w:rPr>
      </w:pPr>
      <w:r w:rsidRPr="005D4362">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7E074B" w:rsidRPr="005D4362" w:rsidRDefault="007E074B" w:rsidP="00035B6C">
      <w:pPr>
        <w:jc w:val="both"/>
        <w:rPr>
          <w:rFonts w:ascii="Verdana" w:hAnsi="Verdana" w:cs="Arial"/>
          <w:bCs/>
          <w:iCs/>
          <w:color w:val="000000" w:themeColor="text1"/>
          <w:sz w:val="22"/>
          <w:szCs w:val="22"/>
        </w:rPr>
      </w:pPr>
    </w:p>
    <w:p w:rsidR="007E074B" w:rsidRPr="005D4362" w:rsidRDefault="007E074B" w:rsidP="00035B6C">
      <w:pPr>
        <w:jc w:val="both"/>
        <w:rPr>
          <w:rFonts w:ascii="Verdana" w:hAnsi="Verdana" w:cs="Arial"/>
          <w:bCs/>
          <w:iCs/>
          <w:color w:val="000000" w:themeColor="text1"/>
          <w:sz w:val="22"/>
          <w:szCs w:val="22"/>
        </w:rPr>
      </w:pPr>
      <w:r w:rsidRPr="005D4362">
        <w:rPr>
          <w:rFonts w:ascii="Verdana" w:hAnsi="Verdana" w:cs="Arial"/>
          <w:bCs/>
          <w:iCs/>
          <w:color w:val="000000" w:themeColor="text1"/>
          <w:sz w:val="22"/>
          <w:szCs w:val="22"/>
        </w:rPr>
        <w:t xml:space="preserve">Staff are invited to comment and any recommendations for change/improvement should be in writing to the Senior Admin Officer at the Business Centre who will liaise with the </w:t>
      </w:r>
      <w:r w:rsidR="009C0DC0" w:rsidRPr="005D4362">
        <w:rPr>
          <w:rFonts w:ascii="Verdana" w:hAnsi="Verdana" w:cs="Arial"/>
          <w:bCs/>
          <w:iCs/>
          <w:color w:val="000000" w:themeColor="text1"/>
          <w:sz w:val="22"/>
          <w:szCs w:val="22"/>
        </w:rPr>
        <w:t>S</w:t>
      </w:r>
      <w:r w:rsidRPr="005D4362">
        <w:rPr>
          <w:rFonts w:ascii="Verdana" w:hAnsi="Verdana" w:cs="Arial"/>
          <w:bCs/>
          <w:iCs/>
          <w:color w:val="000000" w:themeColor="text1"/>
          <w:sz w:val="22"/>
          <w:szCs w:val="22"/>
        </w:rPr>
        <w:t xml:space="preserve">enior </w:t>
      </w:r>
      <w:r w:rsidR="009C0DC0" w:rsidRPr="005D4362">
        <w:rPr>
          <w:rFonts w:ascii="Verdana" w:hAnsi="Verdana" w:cs="Arial"/>
          <w:bCs/>
          <w:iCs/>
          <w:color w:val="000000" w:themeColor="text1"/>
          <w:sz w:val="22"/>
          <w:szCs w:val="22"/>
        </w:rPr>
        <w:t>M</w:t>
      </w:r>
      <w:r w:rsidRPr="005D4362">
        <w:rPr>
          <w:rFonts w:ascii="Verdana" w:hAnsi="Verdana" w:cs="Arial"/>
          <w:bCs/>
          <w:iCs/>
          <w:color w:val="000000" w:themeColor="text1"/>
          <w:sz w:val="22"/>
          <w:szCs w:val="22"/>
        </w:rPr>
        <w:t>anager who has authorised release of this document – see control box, front sheet.</w:t>
      </w:r>
    </w:p>
    <w:p w:rsidR="007E074B" w:rsidRPr="005D4362" w:rsidRDefault="007E074B" w:rsidP="007E074B">
      <w:pPr>
        <w:rPr>
          <w:rFonts w:ascii="Verdana" w:hAnsi="Verdana"/>
        </w:rPr>
      </w:pPr>
    </w:p>
    <w:p w:rsidR="007E074B" w:rsidRPr="005D4362" w:rsidRDefault="007E074B" w:rsidP="007E074B">
      <w:pPr>
        <w:rPr>
          <w:rFonts w:ascii="Verdana" w:hAnsi="Verdana" w:cs="Arial"/>
          <w:sz w:val="22"/>
          <w:szCs w:val="22"/>
        </w:rPr>
      </w:pPr>
    </w:p>
    <w:sectPr w:rsidR="007E074B" w:rsidRPr="005D4362" w:rsidSect="00373001">
      <w:headerReference w:type="default" r:id="rId10"/>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15B" w:rsidRDefault="007C715B" w:rsidP="00FE1D92">
      <w:r>
        <w:separator/>
      </w:r>
    </w:p>
  </w:endnote>
  <w:endnote w:type="continuationSeparator" w:id="0">
    <w:p w:rsidR="007C715B" w:rsidRDefault="007C715B"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7C715B" w:rsidTr="00CF6038">
      <w:tc>
        <w:tcPr>
          <w:tcW w:w="8508" w:type="dxa"/>
          <w:shd w:val="clear" w:color="auto" w:fill="auto"/>
        </w:tcPr>
        <w:p w:rsidR="007C715B" w:rsidRPr="00CF6038" w:rsidRDefault="007C715B" w:rsidP="00FF2EDD">
          <w:pPr>
            <w:pStyle w:val="Footer"/>
            <w:rPr>
              <w:rFonts w:ascii="Arial" w:hAnsi="Arial" w:cs="Arial"/>
              <w:sz w:val="20"/>
              <w:szCs w:val="20"/>
            </w:rPr>
          </w:pPr>
          <w:r w:rsidRPr="00CF6038">
            <w:rPr>
              <w:rFonts w:ascii="Arial" w:hAnsi="Arial" w:cs="Arial"/>
              <w:sz w:val="20"/>
              <w:szCs w:val="20"/>
            </w:rPr>
            <w:fldChar w:fldCharType="begin"/>
          </w:r>
          <w:r w:rsidRPr="00CF6038">
            <w:rPr>
              <w:rFonts w:ascii="Arial" w:hAnsi="Arial" w:cs="Arial"/>
              <w:sz w:val="20"/>
              <w:szCs w:val="20"/>
            </w:rPr>
            <w:instrText xml:space="preserve"> FILENAME  \* Upper  \* MERGEFORMAT </w:instrText>
          </w:r>
          <w:r w:rsidRPr="00CF6038">
            <w:rPr>
              <w:rFonts w:ascii="Arial" w:hAnsi="Arial" w:cs="Arial"/>
              <w:sz w:val="20"/>
              <w:szCs w:val="20"/>
            </w:rPr>
            <w:fldChar w:fldCharType="separate"/>
          </w:r>
          <w:r w:rsidR="009373BB">
            <w:rPr>
              <w:rFonts w:ascii="Arial" w:hAnsi="Arial" w:cs="Arial"/>
              <w:noProof/>
              <w:sz w:val="20"/>
              <w:szCs w:val="20"/>
            </w:rPr>
            <w:t>TELEPHONES (INCLUDING COMPANY AND PERSONAL MOBILES), EMAIL AND THE INTERNET BY STAFF – USE OF V1.2</w:t>
          </w:r>
          <w:r w:rsidRPr="00CF6038">
            <w:rPr>
              <w:rFonts w:ascii="Arial" w:hAnsi="Arial" w:cs="Arial"/>
              <w:sz w:val="20"/>
              <w:szCs w:val="20"/>
            </w:rPr>
            <w:fldChar w:fldCharType="end"/>
          </w:r>
        </w:p>
      </w:tc>
      <w:tc>
        <w:tcPr>
          <w:tcW w:w="1454" w:type="dxa"/>
          <w:shd w:val="clear" w:color="auto" w:fill="auto"/>
        </w:tcPr>
        <w:p w:rsidR="007C715B" w:rsidRPr="00CF6038" w:rsidRDefault="007C715B" w:rsidP="00CF6038">
          <w:pPr>
            <w:pStyle w:val="Footer"/>
            <w:jc w:val="right"/>
            <w:rPr>
              <w:rFonts w:ascii="Arial" w:hAnsi="Arial" w:cs="Arial"/>
              <w:sz w:val="20"/>
              <w:szCs w:val="20"/>
            </w:rPr>
          </w:pPr>
          <w:r w:rsidRPr="00CF6038">
            <w:rPr>
              <w:rFonts w:ascii="Arial" w:hAnsi="Arial" w:cs="Arial"/>
              <w:sz w:val="20"/>
              <w:szCs w:val="20"/>
            </w:rPr>
            <w:t xml:space="preserve">PAGE </w:t>
          </w:r>
          <w:r w:rsidRPr="00CF6038">
            <w:rPr>
              <w:rStyle w:val="PageNumber"/>
              <w:rFonts w:ascii="Arial" w:hAnsi="Arial" w:cs="Arial"/>
              <w:sz w:val="20"/>
              <w:szCs w:val="20"/>
            </w:rPr>
            <w:fldChar w:fldCharType="begin"/>
          </w:r>
          <w:r w:rsidRPr="00CF6038">
            <w:rPr>
              <w:rStyle w:val="PageNumber"/>
              <w:rFonts w:ascii="Arial" w:hAnsi="Arial" w:cs="Arial"/>
              <w:sz w:val="20"/>
              <w:szCs w:val="20"/>
            </w:rPr>
            <w:instrText xml:space="preserve"> PAGE </w:instrText>
          </w:r>
          <w:r w:rsidRPr="00CF6038">
            <w:rPr>
              <w:rStyle w:val="PageNumber"/>
              <w:rFonts w:ascii="Arial" w:hAnsi="Arial" w:cs="Arial"/>
              <w:sz w:val="20"/>
              <w:szCs w:val="20"/>
            </w:rPr>
            <w:fldChar w:fldCharType="separate"/>
          </w:r>
          <w:r w:rsidR="005D4362">
            <w:rPr>
              <w:rStyle w:val="PageNumber"/>
              <w:rFonts w:ascii="Arial" w:hAnsi="Arial" w:cs="Arial"/>
              <w:noProof/>
              <w:sz w:val="20"/>
              <w:szCs w:val="20"/>
            </w:rPr>
            <w:t>7</w:t>
          </w:r>
          <w:r w:rsidRPr="00CF6038">
            <w:rPr>
              <w:rStyle w:val="PageNumber"/>
              <w:rFonts w:ascii="Arial" w:hAnsi="Arial" w:cs="Arial"/>
              <w:sz w:val="20"/>
              <w:szCs w:val="20"/>
            </w:rPr>
            <w:fldChar w:fldCharType="end"/>
          </w:r>
        </w:p>
      </w:tc>
    </w:tr>
  </w:tbl>
  <w:p w:rsidR="007C715B" w:rsidRDefault="007C715B"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15B" w:rsidRDefault="007C715B" w:rsidP="00FE1D92">
      <w:r>
        <w:separator/>
      </w:r>
    </w:p>
  </w:footnote>
  <w:footnote w:type="continuationSeparator" w:id="0">
    <w:p w:rsidR="007C715B" w:rsidRDefault="007C715B" w:rsidP="00FE1D92">
      <w:r>
        <w:continuationSeparator/>
      </w:r>
    </w:p>
  </w:footnote>
  <w:footnote w:id="1">
    <w:p w:rsidR="007C715B" w:rsidRPr="00F9340C" w:rsidRDefault="007C715B">
      <w:pPr>
        <w:pStyle w:val="FootnoteText"/>
        <w:rPr>
          <w:rFonts w:ascii="Arial" w:hAnsi="Arial" w:cs="Arial"/>
          <w:lang w:val="en-US"/>
        </w:rPr>
      </w:pPr>
      <w:r w:rsidRPr="00F9340C">
        <w:rPr>
          <w:rStyle w:val="FootnoteReference"/>
          <w:rFonts w:ascii="Arial" w:hAnsi="Arial" w:cs="Arial"/>
          <w:lang w:val="en-US"/>
        </w:rPr>
        <w:footnoteRef/>
      </w:r>
      <w:r>
        <w:rPr>
          <w:rFonts w:ascii="Arial" w:hAnsi="Arial" w:cs="Arial"/>
          <w:lang w:val="en-US"/>
        </w:rPr>
        <w:t xml:space="preserve"> The Group Business</w:t>
      </w:r>
      <w:r w:rsidRPr="00F9340C">
        <w:rPr>
          <w:rFonts w:ascii="Arial" w:hAnsi="Arial" w:cs="Arial"/>
          <w:lang w:val="en-US"/>
        </w:rPr>
        <w:t xml:space="preserve"> Manager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18"/>
      <w:gridCol w:w="1242"/>
      <w:gridCol w:w="1248"/>
      <w:gridCol w:w="1251"/>
    </w:tblGrid>
    <w:tr w:rsidR="007C715B" w:rsidRPr="00CF6038" w:rsidTr="00CF6038">
      <w:trPr>
        <w:trHeight w:val="241"/>
      </w:trPr>
      <w:tc>
        <w:tcPr>
          <w:tcW w:w="3942" w:type="dxa"/>
          <w:vMerge w:val="restart"/>
          <w:tcBorders>
            <w:top w:val="nil"/>
            <w:left w:val="nil"/>
            <w:bottom w:val="nil"/>
            <w:right w:val="single" w:sz="4" w:space="0" w:color="auto"/>
          </w:tcBorders>
          <w:shd w:val="clear" w:color="auto" w:fill="auto"/>
        </w:tcPr>
        <w:p w:rsidR="007C715B" w:rsidRPr="005D4362" w:rsidRDefault="005D4362" w:rsidP="00035B6C">
          <w:pPr>
            <w:tabs>
              <w:tab w:val="left" w:pos="2910"/>
            </w:tabs>
            <w:rPr>
              <w:rFonts w:ascii="Verdana" w:hAnsi="Verdana" w:cs="Arial"/>
              <w:sz w:val="22"/>
              <w:szCs w:val="22"/>
            </w:rPr>
          </w:pPr>
          <w:r w:rsidRPr="005D4362">
            <w:rPr>
              <w:rFonts w:ascii="Verdana" w:hAnsi="Verdana" w:cs="Arial"/>
              <w:noProof/>
              <w:sz w:val="22"/>
              <w:szCs w:val="22"/>
            </w:rPr>
            <w:drawing>
              <wp:inline distT="0" distB="0" distL="0" distR="0" wp14:anchorId="41B293A0" wp14:editId="7AD64BD2">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7C715B" w:rsidRPr="005D4362" w:rsidRDefault="007C715B">
          <w:pPr>
            <w:rPr>
              <w:rFonts w:ascii="Verdana" w:hAnsi="Verdana" w:cs="Arial"/>
              <w:b/>
              <w:sz w:val="18"/>
              <w:szCs w:val="18"/>
            </w:rPr>
          </w:pPr>
          <w:r w:rsidRPr="005D4362">
            <w:rPr>
              <w:rFonts w:ascii="Verdana" w:hAnsi="Verdana" w:cs="Arial"/>
              <w:b/>
              <w:sz w:val="18"/>
              <w:szCs w:val="18"/>
            </w:rPr>
            <w:t>Office use only</w:t>
          </w:r>
        </w:p>
      </w:tc>
      <w:tc>
        <w:tcPr>
          <w:tcW w:w="4121" w:type="dxa"/>
          <w:gridSpan w:val="3"/>
          <w:tcBorders>
            <w:left w:val="single" w:sz="4" w:space="0" w:color="auto"/>
          </w:tcBorders>
          <w:shd w:val="clear" w:color="auto" w:fill="auto"/>
        </w:tcPr>
        <w:p w:rsidR="007C715B" w:rsidRPr="005D4362" w:rsidRDefault="007C715B">
          <w:pPr>
            <w:rPr>
              <w:rFonts w:ascii="Verdana" w:hAnsi="Verdana" w:cs="Arial"/>
              <w:sz w:val="18"/>
              <w:szCs w:val="18"/>
            </w:rPr>
          </w:pPr>
        </w:p>
      </w:tc>
    </w:tr>
    <w:tr w:rsidR="007C715B" w:rsidRPr="00CF6038" w:rsidTr="00CF6038">
      <w:trPr>
        <w:trHeight w:val="238"/>
      </w:trPr>
      <w:tc>
        <w:tcPr>
          <w:tcW w:w="3942" w:type="dxa"/>
          <w:vMerge/>
          <w:tcBorders>
            <w:left w:val="nil"/>
            <w:bottom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Version No:</w:t>
          </w:r>
        </w:p>
      </w:tc>
      <w:tc>
        <w:tcPr>
          <w:tcW w:w="1373"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1.2</w:t>
          </w:r>
        </w:p>
      </w:tc>
      <w:tc>
        <w:tcPr>
          <w:tcW w:w="1374"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ID No:</w:t>
          </w:r>
        </w:p>
      </w:tc>
      <w:tc>
        <w:tcPr>
          <w:tcW w:w="1374"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936</w:t>
          </w:r>
        </w:p>
      </w:tc>
    </w:tr>
    <w:tr w:rsidR="007C715B" w:rsidRPr="00CF6038" w:rsidTr="00CF6038">
      <w:trPr>
        <w:trHeight w:val="238"/>
      </w:trPr>
      <w:tc>
        <w:tcPr>
          <w:tcW w:w="3942" w:type="dxa"/>
          <w:vMerge/>
          <w:tcBorders>
            <w:left w:val="nil"/>
            <w:bottom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Date Issued:</w:t>
          </w:r>
        </w:p>
      </w:tc>
      <w:tc>
        <w:tcPr>
          <w:tcW w:w="4121" w:type="dxa"/>
          <w:gridSpan w:val="3"/>
          <w:tcBorders>
            <w:left w:val="single" w:sz="4" w:space="0" w:color="auto"/>
          </w:tcBorders>
          <w:shd w:val="clear" w:color="auto" w:fill="auto"/>
        </w:tcPr>
        <w:p w:rsidR="007C715B" w:rsidRPr="005D4362" w:rsidRDefault="00035B6C">
          <w:pPr>
            <w:rPr>
              <w:rFonts w:ascii="Verdana" w:hAnsi="Verdana" w:cs="Arial"/>
              <w:sz w:val="18"/>
              <w:szCs w:val="18"/>
            </w:rPr>
          </w:pPr>
          <w:r w:rsidRPr="005D4362">
            <w:rPr>
              <w:rFonts w:ascii="Verdana" w:hAnsi="Verdana" w:cs="Arial"/>
              <w:sz w:val="18"/>
              <w:szCs w:val="18"/>
            </w:rPr>
            <w:t>22 May 2013</w:t>
          </w:r>
        </w:p>
      </w:tc>
    </w:tr>
    <w:tr w:rsidR="007C715B" w:rsidRPr="00CF6038" w:rsidTr="00CF6038">
      <w:trPr>
        <w:trHeight w:val="238"/>
      </w:trPr>
      <w:tc>
        <w:tcPr>
          <w:tcW w:w="3942" w:type="dxa"/>
          <w:vMerge/>
          <w:tcBorders>
            <w:left w:val="nil"/>
            <w:bottom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Previously Issued:</w:t>
          </w:r>
        </w:p>
      </w:tc>
      <w:tc>
        <w:tcPr>
          <w:tcW w:w="4121" w:type="dxa"/>
          <w:gridSpan w:val="3"/>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6 September 2012</w:t>
          </w:r>
        </w:p>
      </w:tc>
    </w:tr>
    <w:tr w:rsidR="007C715B" w:rsidRPr="00CF6038" w:rsidTr="00CF6038">
      <w:trPr>
        <w:trHeight w:val="238"/>
      </w:trPr>
      <w:tc>
        <w:tcPr>
          <w:tcW w:w="3942" w:type="dxa"/>
          <w:vMerge/>
          <w:tcBorders>
            <w:left w:val="nil"/>
            <w:bottom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Main Section:</w:t>
          </w:r>
        </w:p>
      </w:tc>
      <w:tc>
        <w:tcPr>
          <w:tcW w:w="4121" w:type="dxa"/>
          <w:gridSpan w:val="3"/>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Human Resources</w:t>
          </w:r>
        </w:p>
      </w:tc>
    </w:tr>
    <w:tr w:rsidR="007C715B" w:rsidRPr="00CF6038" w:rsidTr="00CF6038">
      <w:trPr>
        <w:trHeight w:val="238"/>
      </w:trPr>
      <w:tc>
        <w:tcPr>
          <w:tcW w:w="3942" w:type="dxa"/>
          <w:vMerge/>
          <w:tcBorders>
            <w:left w:val="nil"/>
            <w:bottom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Sub Section:</w:t>
          </w:r>
        </w:p>
      </w:tc>
      <w:tc>
        <w:tcPr>
          <w:tcW w:w="4121" w:type="dxa"/>
          <w:gridSpan w:val="3"/>
          <w:tcBorders>
            <w:left w:val="single" w:sz="4" w:space="0" w:color="auto"/>
          </w:tcBorders>
          <w:shd w:val="clear" w:color="auto" w:fill="auto"/>
        </w:tcPr>
        <w:p w:rsidR="007C715B" w:rsidRPr="005D4362" w:rsidRDefault="007C715B">
          <w:pPr>
            <w:rPr>
              <w:rFonts w:ascii="Verdana" w:hAnsi="Verdana" w:cs="Arial"/>
              <w:sz w:val="18"/>
              <w:szCs w:val="18"/>
            </w:rPr>
          </w:pPr>
        </w:p>
      </w:tc>
    </w:tr>
    <w:tr w:rsidR="007C715B" w:rsidRPr="00CF6038" w:rsidTr="00A21E4E">
      <w:trPr>
        <w:trHeight w:val="238"/>
      </w:trPr>
      <w:tc>
        <w:tcPr>
          <w:tcW w:w="3942" w:type="dxa"/>
          <w:vMerge w:val="restart"/>
          <w:tcBorders>
            <w:top w:val="nil"/>
            <w:left w:val="nil"/>
            <w:right w:val="single" w:sz="4" w:space="0" w:color="auto"/>
          </w:tcBorders>
          <w:shd w:val="clear" w:color="auto" w:fill="auto"/>
          <w:vAlign w:val="center"/>
        </w:tcPr>
        <w:p w:rsidR="007C715B" w:rsidRPr="005D4362" w:rsidRDefault="007C715B">
          <w:pPr>
            <w:rPr>
              <w:rFonts w:ascii="Verdana" w:hAnsi="Verdana" w:cs="Arial"/>
              <w:b/>
              <w:sz w:val="36"/>
              <w:szCs w:val="22"/>
            </w:rPr>
          </w:pPr>
          <w:r w:rsidRPr="005D4362">
            <w:rPr>
              <w:rFonts w:ascii="Verdana" w:hAnsi="Verdana" w:cs="Arial"/>
              <w:b/>
              <w:sz w:val="36"/>
              <w:szCs w:val="22"/>
            </w:rPr>
            <w:t>Procedure/Guidance</w:t>
          </w: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Division:</w:t>
          </w:r>
        </w:p>
      </w:tc>
      <w:tc>
        <w:tcPr>
          <w:tcW w:w="4121" w:type="dxa"/>
          <w:gridSpan w:val="3"/>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Foster Care</w:t>
          </w:r>
        </w:p>
      </w:tc>
    </w:tr>
    <w:tr w:rsidR="007C715B" w:rsidRPr="00CF6038" w:rsidTr="00CF6038">
      <w:trPr>
        <w:trHeight w:val="238"/>
      </w:trPr>
      <w:tc>
        <w:tcPr>
          <w:tcW w:w="3942" w:type="dxa"/>
          <w:vMerge/>
          <w:tcBorders>
            <w:left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Authorised:</w:t>
          </w:r>
        </w:p>
      </w:tc>
      <w:tc>
        <w:tcPr>
          <w:tcW w:w="4121" w:type="dxa"/>
          <w:gridSpan w:val="3"/>
          <w:tcBorders>
            <w:left w:val="single" w:sz="4" w:space="0" w:color="auto"/>
          </w:tcBorders>
          <w:shd w:val="clear" w:color="auto" w:fill="auto"/>
        </w:tcPr>
        <w:p w:rsidR="007C715B" w:rsidRPr="005D4362" w:rsidRDefault="007C715B">
          <w:pPr>
            <w:rPr>
              <w:rFonts w:ascii="Verdana" w:hAnsi="Verdana" w:cs="Arial"/>
              <w:sz w:val="18"/>
              <w:szCs w:val="18"/>
            </w:rPr>
          </w:pPr>
          <w:smartTag w:uri="urn:schemas-microsoft-com:office:smarttags" w:element="place">
            <w:smartTag w:uri="urn:schemas-microsoft-com:office:smarttags" w:element="place">
              <w:r w:rsidRPr="005D4362">
                <w:rPr>
                  <w:rFonts w:ascii="Verdana" w:hAnsi="Verdana" w:cs="Arial"/>
                  <w:sz w:val="18"/>
                  <w:szCs w:val="18"/>
                </w:rPr>
                <w:t>Michelle</w:t>
              </w:r>
            </w:smartTag>
            <w:r w:rsidRPr="005D4362">
              <w:rPr>
                <w:rFonts w:ascii="Verdana" w:hAnsi="Verdana" w:cs="Arial"/>
                <w:sz w:val="18"/>
                <w:szCs w:val="18"/>
              </w:rPr>
              <w:t xml:space="preserve"> Redfearn</w:t>
            </w:r>
          </w:smartTag>
        </w:p>
      </w:tc>
    </w:tr>
    <w:tr w:rsidR="007C715B" w:rsidRPr="00CF6038" w:rsidTr="00CF6038">
      <w:trPr>
        <w:trHeight w:val="238"/>
      </w:trPr>
      <w:tc>
        <w:tcPr>
          <w:tcW w:w="3942" w:type="dxa"/>
          <w:vMerge/>
          <w:tcBorders>
            <w:left w:val="nil"/>
            <w:bottom w:val="nil"/>
            <w:right w:val="single" w:sz="4" w:space="0" w:color="auto"/>
          </w:tcBorders>
          <w:shd w:val="clear" w:color="auto" w:fill="auto"/>
        </w:tcPr>
        <w:p w:rsidR="007C715B" w:rsidRPr="005D4362" w:rsidRDefault="007C715B">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7C715B" w:rsidRPr="005D4362" w:rsidRDefault="007C715B">
          <w:pPr>
            <w:rPr>
              <w:rFonts w:ascii="Verdana" w:hAnsi="Verdana" w:cs="Arial"/>
              <w:sz w:val="18"/>
              <w:szCs w:val="18"/>
            </w:rPr>
          </w:pPr>
          <w:r w:rsidRPr="005D4362">
            <w:rPr>
              <w:rFonts w:ascii="Verdana" w:hAnsi="Verdana" w:cs="Arial"/>
              <w:sz w:val="18"/>
              <w:szCs w:val="18"/>
            </w:rPr>
            <w:t>Human Resources Manager</w:t>
          </w:r>
        </w:p>
      </w:tc>
    </w:tr>
  </w:tbl>
  <w:p w:rsidR="007C715B" w:rsidRDefault="007C7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5B" w:rsidRDefault="007C7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3B15"/>
    <w:multiLevelType w:val="hybridMultilevel"/>
    <w:tmpl w:val="BED0C7E0"/>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1362D0D"/>
    <w:multiLevelType w:val="hybridMultilevel"/>
    <w:tmpl w:val="FC66839E"/>
    <w:lvl w:ilvl="0" w:tplc="80560686">
      <w:start w:val="1"/>
      <w:numFmt w:val="bullet"/>
      <w:lvlText w:val=""/>
      <w:lvlJc w:val="left"/>
      <w:pPr>
        <w:tabs>
          <w:tab w:val="num" w:pos="360"/>
        </w:tabs>
        <w:ind w:left="360" w:hanging="360"/>
      </w:pPr>
      <w:rPr>
        <w:rFonts w:ascii="Symbol" w:hAnsi="Symbol" w:hint="default"/>
        <w:sz w:val="22"/>
        <w:szCs w:val="22"/>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2765936"/>
    <w:multiLevelType w:val="multilevel"/>
    <w:tmpl w:val="537EA054"/>
    <w:lvl w:ilvl="0">
      <w:start w:val="1"/>
      <w:numFmt w:val="bullet"/>
      <w:lvlText w:val=""/>
      <w:lvlJc w:val="left"/>
      <w:pPr>
        <w:tabs>
          <w:tab w:val="num" w:pos="360"/>
        </w:tabs>
        <w:ind w:left="36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96E3A38"/>
    <w:multiLevelType w:val="hybridMultilevel"/>
    <w:tmpl w:val="537EA054"/>
    <w:lvl w:ilvl="0" w:tplc="43B01156">
      <w:start w:val="1"/>
      <w:numFmt w:val="bullet"/>
      <w:lvlText w:val=""/>
      <w:lvlJc w:val="left"/>
      <w:pPr>
        <w:tabs>
          <w:tab w:val="num" w:pos="360"/>
        </w:tabs>
        <w:ind w:left="360" w:hanging="360"/>
      </w:pPr>
      <w:rPr>
        <w:rFonts w:ascii="Symbol" w:hAnsi="Symbol" w:hint="default"/>
        <w:sz w:val="22"/>
        <w:szCs w:val="22"/>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6">
    <w:nsid w:val="508F3F7C"/>
    <w:multiLevelType w:val="multilevel"/>
    <w:tmpl w:val="2E5617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0E51CDC"/>
    <w:multiLevelType w:val="hybridMultilevel"/>
    <w:tmpl w:val="9CDAFEF4"/>
    <w:lvl w:ilvl="0" w:tplc="8CBE0196">
      <w:start w:val="1"/>
      <w:numFmt w:val="decimal"/>
      <w:lvlText w:val="5.%1."/>
      <w:lvlJc w:val="left"/>
      <w:pPr>
        <w:tabs>
          <w:tab w:val="num" w:pos="1080"/>
        </w:tabs>
        <w:ind w:left="1080" w:hanging="108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A530CA4"/>
    <w:multiLevelType w:val="hybridMultilevel"/>
    <w:tmpl w:val="2E561730"/>
    <w:lvl w:ilvl="0" w:tplc="95C05EFE">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6"/>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D4"/>
    <w:rsid w:val="00000579"/>
    <w:rsid w:val="00012488"/>
    <w:rsid w:val="00033507"/>
    <w:rsid w:val="00035B6C"/>
    <w:rsid w:val="00037B91"/>
    <w:rsid w:val="000409A9"/>
    <w:rsid w:val="00042E26"/>
    <w:rsid w:val="000531DD"/>
    <w:rsid w:val="0009359F"/>
    <w:rsid w:val="00096B7D"/>
    <w:rsid w:val="000A5B68"/>
    <w:rsid w:val="000B6736"/>
    <w:rsid w:val="000B7DD9"/>
    <w:rsid w:val="000C23ED"/>
    <w:rsid w:val="000C65D5"/>
    <w:rsid w:val="00117534"/>
    <w:rsid w:val="001224C9"/>
    <w:rsid w:val="0012742A"/>
    <w:rsid w:val="001426BD"/>
    <w:rsid w:val="00166B40"/>
    <w:rsid w:val="001743D4"/>
    <w:rsid w:val="001D318F"/>
    <w:rsid w:val="001D64E4"/>
    <w:rsid w:val="001E750B"/>
    <w:rsid w:val="0023795B"/>
    <w:rsid w:val="00257578"/>
    <w:rsid w:val="00295E49"/>
    <w:rsid w:val="002D1462"/>
    <w:rsid w:val="002F2640"/>
    <w:rsid w:val="002F5D63"/>
    <w:rsid w:val="00314C16"/>
    <w:rsid w:val="00373001"/>
    <w:rsid w:val="00383953"/>
    <w:rsid w:val="003938D0"/>
    <w:rsid w:val="003957A0"/>
    <w:rsid w:val="003A6E0A"/>
    <w:rsid w:val="003B5B70"/>
    <w:rsid w:val="003D385E"/>
    <w:rsid w:val="003E47A8"/>
    <w:rsid w:val="0042789C"/>
    <w:rsid w:val="00442573"/>
    <w:rsid w:val="00474F30"/>
    <w:rsid w:val="0049509B"/>
    <w:rsid w:val="004B6E27"/>
    <w:rsid w:val="004C0EB8"/>
    <w:rsid w:val="004D7BD8"/>
    <w:rsid w:val="004E0532"/>
    <w:rsid w:val="004E6E1B"/>
    <w:rsid w:val="004F561A"/>
    <w:rsid w:val="0052188A"/>
    <w:rsid w:val="00571091"/>
    <w:rsid w:val="0057554D"/>
    <w:rsid w:val="005D4362"/>
    <w:rsid w:val="005E4B98"/>
    <w:rsid w:val="005F15E2"/>
    <w:rsid w:val="006051BF"/>
    <w:rsid w:val="0062517E"/>
    <w:rsid w:val="00625963"/>
    <w:rsid w:val="00627A84"/>
    <w:rsid w:val="006B7DB7"/>
    <w:rsid w:val="006C2F8C"/>
    <w:rsid w:val="00704D7F"/>
    <w:rsid w:val="00714342"/>
    <w:rsid w:val="007A1EB2"/>
    <w:rsid w:val="007B719C"/>
    <w:rsid w:val="007C715B"/>
    <w:rsid w:val="007E074B"/>
    <w:rsid w:val="0082295E"/>
    <w:rsid w:val="00843EDD"/>
    <w:rsid w:val="0085441B"/>
    <w:rsid w:val="008955C0"/>
    <w:rsid w:val="008A79B3"/>
    <w:rsid w:val="008B0235"/>
    <w:rsid w:val="008C396A"/>
    <w:rsid w:val="00913B09"/>
    <w:rsid w:val="009266F9"/>
    <w:rsid w:val="009307B2"/>
    <w:rsid w:val="00933E05"/>
    <w:rsid w:val="009373BB"/>
    <w:rsid w:val="00940DEC"/>
    <w:rsid w:val="00942BA4"/>
    <w:rsid w:val="009551CB"/>
    <w:rsid w:val="009615B1"/>
    <w:rsid w:val="0097743D"/>
    <w:rsid w:val="00997CA5"/>
    <w:rsid w:val="009C0DC0"/>
    <w:rsid w:val="009E2D2B"/>
    <w:rsid w:val="00A10171"/>
    <w:rsid w:val="00A21E4E"/>
    <w:rsid w:val="00A2592A"/>
    <w:rsid w:val="00A313EA"/>
    <w:rsid w:val="00A47C7A"/>
    <w:rsid w:val="00A5119C"/>
    <w:rsid w:val="00A52FF5"/>
    <w:rsid w:val="00A534AC"/>
    <w:rsid w:val="00A70D5C"/>
    <w:rsid w:val="00A86BCE"/>
    <w:rsid w:val="00AA0D9C"/>
    <w:rsid w:val="00B01484"/>
    <w:rsid w:val="00B648BB"/>
    <w:rsid w:val="00BA4890"/>
    <w:rsid w:val="00C45FD2"/>
    <w:rsid w:val="00C50104"/>
    <w:rsid w:val="00C5436A"/>
    <w:rsid w:val="00C561F8"/>
    <w:rsid w:val="00C640ED"/>
    <w:rsid w:val="00C84227"/>
    <w:rsid w:val="00CF6038"/>
    <w:rsid w:val="00D2312E"/>
    <w:rsid w:val="00D43F59"/>
    <w:rsid w:val="00D861B5"/>
    <w:rsid w:val="00D87B54"/>
    <w:rsid w:val="00D90CF8"/>
    <w:rsid w:val="00DC3A27"/>
    <w:rsid w:val="00DC4D91"/>
    <w:rsid w:val="00DE062F"/>
    <w:rsid w:val="00DF0B50"/>
    <w:rsid w:val="00E116A4"/>
    <w:rsid w:val="00E33712"/>
    <w:rsid w:val="00E4587A"/>
    <w:rsid w:val="00E7547F"/>
    <w:rsid w:val="00F2531F"/>
    <w:rsid w:val="00F44118"/>
    <w:rsid w:val="00F9340C"/>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FootnoteText">
    <w:name w:val="footnote text"/>
    <w:basedOn w:val="Normal"/>
    <w:semiHidden/>
    <w:rsid w:val="000B6736"/>
    <w:pPr>
      <w:widowControl w:val="0"/>
      <w:spacing w:before="60" w:after="60"/>
    </w:pPr>
    <w:rPr>
      <w:sz w:val="20"/>
      <w:szCs w:val="20"/>
    </w:rPr>
  </w:style>
  <w:style w:type="character" w:styleId="FootnoteReference">
    <w:name w:val="footnote reference"/>
    <w:semiHidden/>
    <w:rsid w:val="000B6736"/>
    <w:rPr>
      <w:vertAlign w:val="superscript"/>
    </w:rPr>
  </w:style>
  <w:style w:type="paragraph" w:styleId="BalloonText">
    <w:name w:val="Balloon Text"/>
    <w:basedOn w:val="Normal"/>
    <w:semiHidden/>
    <w:rsid w:val="001D3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FootnoteText">
    <w:name w:val="footnote text"/>
    <w:basedOn w:val="Normal"/>
    <w:semiHidden/>
    <w:rsid w:val="000B6736"/>
    <w:pPr>
      <w:widowControl w:val="0"/>
      <w:spacing w:before="60" w:after="60"/>
    </w:pPr>
    <w:rPr>
      <w:sz w:val="20"/>
      <w:szCs w:val="20"/>
    </w:rPr>
  </w:style>
  <w:style w:type="character" w:styleId="FootnoteReference">
    <w:name w:val="footnote reference"/>
    <w:semiHidden/>
    <w:rsid w:val="000B6736"/>
    <w:rPr>
      <w:vertAlign w:val="superscript"/>
    </w:rPr>
  </w:style>
  <w:style w:type="paragraph" w:styleId="BalloonText">
    <w:name w:val="Balloon Text"/>
    <w:basedOn w:val="Normal"/>
    <w:semiHidden/>
    <w:rsid w:val="001D3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46858">
      <w:bodyDiv w:val="1"/>
      <w:marLeft w:val="0"/>
      <w:marRight w:val="0"/>
      <w:marTop w:val="0"/>
      <w:marBottom w:val="0"/>
      <w:divBdr>
        <w:top w:val="none" w:sz="0" w:space="0" w:color="auto"/>
        <w:left w:val="none" w:sz="0" w:space="0" w:color="auto"/>
        <w:bottom w:val="none" w:sz="0" w:space="0" w:color="auto"/>
        <w:right w:val="none" w:sz="0" w:space="0" w:color="auto"/>
      </w:divBdr>
    </w:div>
    <w:div w:id="1825509200">
      <w:bodyDiv w:val="1"/>
      <w:marLeft w:val="0"/>
      <w:marRight w:val="0"/>
      <w:marTop w:val="0"/>
      <w:marBottom w:val="0"/>
      <w:divBdr>
        <w:top w:val="none" w:sz="0" w:space="0" w:color="auto"/>
        <w:left w:val="none" w:sz="0" w:space="0" w:color="auto"/>
        <w:bottom w:val="none" w:sz="0" w:space="0" w:color="auto"/>
        <w:right w:val="none" w:sz="0" w:space="0" w:color="auto"/>
      </w:divBdr>
    </w:div>
    <w:div w:id="20304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2</cp:revision>
  <cp:lastPrinted>2014-04-01T07:17:00Z</cp:lastPrinted>
  <dcterms:created xsi:type="dcterms:W3CDTF">2016-11-08T09:58:00Z</dcterms:created>
  <dcterms:modified xsi:type="dcterms:W3CDTF">2016-11-08T09:58:00Z</dcterms:modified>
</cp:coreProperties>
</file>