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88"/>
        <w:gridCol w:w="120"/>
        <w:gridCol w:w="621"/>
        <w:gridCol w:w="8626"/>
        <w:gridCol w:w="7"/>
      </w:tblGrid>
      <w:tr w:rsidR="00F53F88" w:rsidRPr="007121AD">
        <w:trPr>
          <w:gridAfter w:val="1"/>
          <w:wAfter w:w="7" w:type="dxa"/>
        </w:trPr>
        <w:tc>
          <w:tcPr>
            <w:tcW w:w="1336" w:type="dxa"/>
            <w:gridSpan w:val="4"/>
          </w:tcPr>
          <w:p w:rsidR="00F53F88" w:rsidRPr="007121AD" w:rsidRDefault="00F53F88" w:rsidP="002313F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7121AD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</w:tcPr>
          <w:p w:rsidR="00F53F88" w:rsidRPr="007121AD" w:rsidRDefault="00F53F88" w:rsidP="002313F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7121AD">
              <w:rPr>
                <w:rFonts w:ascii="Verdana" w:hAnsi="Verdana" w:cs="Arial"/>
                <w:b/>
                <w:sz w:val="36"/>
                <w:szCs w:val="36"/>
              </w:rPr>
              <w:t>LONE WORKING POLICY</w:t>
            </w:r>
          </w:p>
        </w:tc>
      </w:tr>
      <w:tr w:rsidR="00F53F88" w:rsidRPr="007121AD">
        <w:trPr>
          <w:gridAfter w:val="1"/>
          <w:wAfter w:w="7" w:type="dxa"/>
        </w:trPr>
        <w:tc>
          <w:tcPr>
            <w:tcW w:w="1336" w:type="dxa"/>
            <w:gridSpan w:val="4"/>
          </w:tcPr>
          <w:p w:rsidR="00F53F88" w:rsidRPr="007121AD" w:rsidRDefault="00F53F88" w:rsidP="002313F6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</w:tcPr>
          <w:p w:rsidR="00F53F88" w:rsidRPr="007121AD" w:rsidRDefault="00F53F88" w:rsidP="002313F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53F88" w:rsidRPr="007121AD">
        <w:trPr>
          <w:gridAfter w:val="1"/>
          <w:wAfter w:w="7" w:type="dxa"/>
        </w:trPr>
        <w:tc>
          <w:tcPr>
            <w:tcW w:w="715" w:type="dxa"/>
            <w:gridSpan w:val="3"/>
          </w:tcPr>
          <w:p w:rsidR="00F53F88" w:rsidRPr="007121AD" w:rsidRDefault="00F53F88" w:rsidP="002313F6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247" w:type="dxa"/>
            <w:gridSpan w:val="2"/>
          </w:tcPr>
          <w:p w:rsidR="00F53F88" w:rsidRPr="007121AD" w:rsidRDefault="00F53F88" w:rsidP="002313F6">
            <w:pPr>
              <w:rPr>
                <w:rFonts w:ascii="Verdana" w:hAnsi="Verdana" w:cs="Arial"/>
                <w:b/>
                <w:bCs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Employers have a legal duty of care:</w:t>
            </w:r>
          </w:p>
          <w:p w:rsidR="00F53F88" w:rsidRPr="007121AD" w:rsidRDefault="00F53F88" w:rsidP="002313F6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Section 2(1) of the Health &amp; Safety at Work Act (1974)</w:t>
            </w:r>
          </w:p>
          <w:p w:rsidR="00F53F88" w:rsidRPr="007121AD" w:rsidRDefault="00F53F88" w:rsidP="002313F6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Management of Health &amp; Safety at Work Regulations (1992)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Personal Safety Checklist: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Inform your colleagues of your whereabouts and estimated arrival and departure times – complete online diary and notice boards in office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 xml:space="preserve">Inform </w:t>
            </w:r>
            <w:r w:rsidR="002E531A" w:rsidRPr="007121AD">
              <w:rPr>
                <w:rFonts w:ascii="Verdana" w:hAnsi="Verdana" w:cs="Arial"/>
                <w:sz w:val="18"/>
              </w:rPr>
              <w:t>colleagues if your plans change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If meeting individuals on your own, check and seek to valida</w:t>
            </w:r>
            <w:r w:rsidR="002E531A" w:rsidRPr="007121AD">
              <w:rPr>
                <w:rFonts w:ascii="Verdana" w:hAnsi="Verdana" w:cs="Arial"/>
                <w:sz w:val="18"/>
              </w:rPr>
              <w:t>te their credentials beforehand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Ensure you can be contacted – your mobile number to be given to colleagues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If you fail to return at/or shortly after the given time and have not contacted colleagues to say that you have been delayed then you should expect colleagues to contact you.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Pr="007121AD">
              <w:rPr>
                <w:rFonts w:ascii="Verdana" w:hAnsi="Verdana" w:cs="Arial"/>
                <w:sz w:val="18"/>
              </w:rPr>
              <w:t xml:space="preserve"> Your mobile phone must not be switched</w:t>
            </w:r>
            <w:r w:rsidR="002E531A" w:rsidRPr="007121AD">
              <w:rPr>
                <w:rFonts w:ascii="Verdana" w:hAnsi="Verdana" w:cs="Arial"/>
                <w:sz w:val="18"/>
              </w:rPr>
              <w:t xml:space="preserve"> off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If calling a colleague to check that they are safe having failed to return at the appointed ti</w:t>
            </w:r>
            <w:r w:rsidR="002E531A" w:rsidRPr="007121AD">
              <w:rPr>
                <w:rFonts w:ascii="Verdana" w:hAnsi="Verdana" w:cs="Arial"/>
                <w:sz w:val="18"/>
              </w:rPr>
              <w:t>me you must speak to them i.e. i</w:t>
            </w:r>
            <w:r w:rsidRPr="007121AD">
              <w:rPr>
                <w:rFonts w:ascii="Verdana" w:hAnsi="Verdana" w:cs="Arial"/>
                <w:sz w:val="18"/>
              </w:rPr>
              <w:t xml:space="preserve">f you use a landline do not accept an assurance from the person that your colleague is visiting that they are </w:t>
            </w:r>
            <w:r w:rsidR="005963F3" w:rsidRPr="007121AD">
              <w:rPr>
                <w:rFonts w:ascii="Verdana" w:hAnsi="Verdana" w:cs="Arial"/>
                <w:sz w:val="18"/>
              </w:rPr>
              <w:t>alright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 xml:space="preserve">When working alone try to use the safest route to the destination </w:t>
            </w:r>
            <w:r w:rsidR="002E531A" w:rsidRPr="007121AD">
              <w:rPr>
                <w:rFonts w:ascii="Verdana" w:hAnsi="Verdana" w:cs="Arial"/>
                <w:sz w:val="18"/>
              </w:rPr>
              <w:t>and try to park in a safe place</w:t>
            </w:r>
          </w:p>
          <w:p w:rsidR="00F53F88" w:rsidRPr="007121AD" w:rsidRDefault="00F53F88" w:rsidP="002313F6">
            <w:pPr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If in the course of your journey you are flashed to stop by an unmarked 'police car' then be aware that the law entitles you to drive to a safe place before stopping the vehicle.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Pr="007121AD">
              <w:rPr>
                <w:rFonts w:ascii="Verdana" w:hAnsi="Verdana" w:cs="Arial"/>
                <w:sz w:val="18"/>
              </w:rPr>
              <w:t xml:space="preserve"> If in doubt call 999 to check the authenticity of the unmarked vehicle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Working Safely in other People’s Homes: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Managing Risks: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 xml:space="preserve">Step 1: Assess your </w:t>
            </w:r>
            <w:r w:rsidR="002E531A" w:rsidRPr="007121AD">
              <w:rPr>
                <w:rFonts w:ascii="Verdana" w:hAnsi="Verdana" w:cs="Arial"/>
                <w:b/>
                <w:bCs/>
                <w:sz w:val="18"/>
              </w:rPr>
              <w:t>C</w:t>
            </w:r>
            <w:r w:rsidRPr="007121AD">
              <w:rPr>
                <w:rFonts w:ascii="Verdana" w:hAnsi="Verdana" w:cs="Arial"/>
                <w:b/>
                <w:bCs/>
                <w:sz w:val="18"/>
              </w:rPr>
              <w:t xml:space="preserve">lients </w:t>
            </w:r>
            <w:r w:rsidRPr="007121AD">
              <w:rPr>
                <w:rFonts w:ascii="Verdana" w:hAnsi="Verdana" w:cs="Arial"/>
                <w:bCs/>
                <w:sz w:val="18"/>
              </w:rPr>
              <w:t>–</w:t>
            </w:r>
            <w:r w:rsidRPr="007121AD">
              <w:rPr>
                <w:rFonts w:ascii="Verdana" w:hAnsi="Verdana" w:cs="Arial"/>
                <w:sz w:val="18"/>
              </w:rPr>
              <w:t xml:space="preserve"> Gather as much background </w:t>
            </w:r>
            <w:r w:rsidR="002E531A" w:rsidRPr="007121AD">
              <w:rPr>
                <w:rFonts w:ascii="Verdana" w:hAnsi="Verdana" w:cs="Arial"/>
                <w:sz w:val="18"/>
              </w:rPr>
              <w:t xml:space="preserve">information </w:t>
            </w:r>
            <w:r w:rsidRPr="007121AD">
              <w:rPr>
                <w:rFonts w:ascii="Verdana" w:hAnsi="Verdana" w:cs="Arial"/>
                <w:sz w:val="18"/>
              </w:rPr>
              <w:t>as possible before visiting a new client.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Pr="007121AD">
              <w:rPr>
                <w:rFonts w:ascii="Verdana" w:hAnsi="Verdana" w:cs="Arial"/>
                <w:sz w:val="18"/>
              </w:rPr>
              <w:t xml:space="preserve"> Check what records are available to you. 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Wherever possible confirm all the details given to you with another source.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b/>
                <w:bCs/>
                <w:sz w:val="18"/>
              </w:rPr>
            </w:pPr>
          </w:p>
          <w:p w:rsidR="00F53F88" w:rsidRPr="007121AD" w:rsidRDefault="002E531A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Step 2: Assess your R</w:t>
            </w:r>
            <w:r w:rsidR="00F53F88" w:rsidRPr="007121AD">
              <w:rPr>
                <w:rFonts w:ascii="Verdana" w:hAnsi="Verdana" w:cs="Arial"/>
                <w:b/>
                <w:bCs/>
                <w:sz w:val="18"/>
              </w:rPr>
              <w:t>isks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bCs/>
                <w:sz w:val="18"/>
              </w:rPr>
              <w:t>–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 Stick to safe procedures.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 If you have to/or are going alone make sure colleagues know where you are going and leave a contact number.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Make clear arrangements with the person you are visiting and agree a time when you will arrive and leave. 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>Have a ‘check-in’ system when you arrive and call colleagues when you leave if this is appropriate.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 xml:space="preserve">Travel safely – avoid out of hours appointments if possible and go in daylight where possible.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Pr="007121AD">
              <w:rPr>
                <w:rFonts w:ascii="Verdana" w:hAnsi="Verdana" w:cs="Arial"/>
                <w:sz w:val="18"/>
              </w:rPr>
              <w:t>However be prepared to visit out of hours.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2E531A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Step 3: Putting S</w:t>
            </w:r>
            <w:r w:rsidR="00F53F88" w:rsidRPr="007121AD">
              <w:rPr>
                <w:rFonts w:ascii="Verdana" w:hAnsi="Verdana" w:cs="Arial"/>
                <w:b/>
                <w:bCs/>
                <w:sz w:val="18"/>
              </w:rPr>
              <w:t>afety in</w:t>
            </w:r>
            <w:r w:rsidRPr="007121AD">
              <w:rPr>
                <w:rFonts w:ascii="Verdana" w:hAnsi="Verdana" w:cs="Arial"/>
                <w:b/>
                <w:bCs/>
                <w:sz w:val="18"/>
              </w:rPr>
              <w:t>to</w:t>
            </w:r>
            <w:r w:rsidR="00F53F88" w:rsidRPr="007121AD">
              <w:rPr>
                <w:rFonts w:ascii="Verdana" w:hAnsi="Verdana" w:cs="Arial"/>
                <w:b/>
                <w:bCs/>
                <w:sz w:val="18"/>
              </w:rPr>
              <w:t xml:space="preserve"> </w:t>
            </w:r>
            <w:r w:rsidRPr="007121AD">
              <w:rPr>
                <w:rFonts w:ascii="Verdana" w:hAnsi="Verdana" w:cs="Arial"/>
                <w:b/>
                <w:bCs/>
                <w:sz w:val="18"/>
              </w:rPr>
              <w:t>P</w:t>
            </w:r>
            <w:r w:rsidR="00F53F88" w:rsidRPr="007121AD">
              <w:rPr>
                <w:rFonts w:ascii="Verdana" w:hAnsi="Verdana" w:cs="Arial"/>
                <w:b/>
                <w:bCs/>
                <w:sz w:val="18"/>
              </w:rPr>
              <w:t xml:space="preserve">ractice </w:t>
            </w:r>
            <w:r w:rsidR="00F53F88" w:rsidRPr="007121AD">
              <w:rPr>
                <w:rFonts w:ascii="Verdana" w:hAnsi="Verdana" w:cs="Arial"/>
                <w:bCs/>
                <w:sz w:val="18"/>
              </w:rPr>
              <w:t>–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 Keep safety at the top of your agenda.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>Consider the clients point of view, remember you are the visitor, be open and reassuring, show your ID and say why you are there.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 Always wait to be invited in.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Once you are inside let them lead the way, check how the door locks and choose the seat nearest the door if possible.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 xml:space="preserve">Take care with sensitive documents you may not want the individual to see. </w:t>
            </w:r>
            <w:r w:rsidR="00E870BF" w:rsidRPr="007121AD">
              <w:rPr>
                <w:rFonts w:ascii="Verdana" w:hAnsi="Verdana" w:cs="Arial"/>
                <w:sz w:val="18"/>
              </w:rPr>
              <w:t xml:space="preserve"> </w:t>
            </w:r>
            <w:r w:rsidR="00F53F88" w:rsidRPr="007121AD">
              <w:rPr>
                <w:rFonts w:ascii="Verdana" w:hAnsi="Verdana" w:cs="Arial"/>
                <w:sz w:val="18"/>
              </w:rPr>
              <w:t>Ask for dogs and other animals to be put in another room.</w:t>
            </w: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jc w:val="both"/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b/>
                <w:bCs/>
                <w:sz w:val="18"/>
              </w:rPr>
              <w:t>Step 4:</w:t>
            </w:r>
            <w:r w:rsidRPr="007121AD">
              <w:rPr>
                <w:rFonts w:ascii="Verdana" w:hAnsi="Verdana" w:cs="Arial"/>
                <w:sz w:val="18"/>
              </w:rPr>
              <w:t xml:space="preserve"> If you feel uneasy then make your excuses and leave - you can always arrange another visit.</w:t>
            </w:r>
          </w:p>
          <w:p w:rsidR="00F53F88" w:rsidRPr="007121AD" w:rsidRDefault="00F53F88" w:rsidP="002313F6">
            <w:pPr>
              <w:ind w:left="1060"/>
              <w:jc w:val="both"/>
              <w:rPr>
                <w:rFonts w:ascii="Verdana" w:hAnsi="Verdana" w:cs="Arial"/>
                <w:sz w:val="18"/>
              </w:rPr>
            </w:pPr>
          </w:p>
          <w:p w:rsidR="00F53F88" w:rsidRPr="007121AD" w:rsidRDefault="00F53F88" w:rsidP="002313F6">
            <w:pPr>
              <w:rPr>
                <w:rFonts w:ascii="Verdana" w:hAnsi="Verdana" w:cs="Arial"/>
                <w:b/>
                <w:sz w:val="18"/>
                <w:u w:val="single"/>
              </w:rPr>
            </w:pPr>
            <w:r w:rsidRPr="007121AD">
              <w:rPr>
                <w:rFonts w:ascii="Verdana" w:hAnsi="Verdana" w:cs="Arial"/>
                <w:b/>
                <w:sz w:val="18"/>
                <w:u w:val="single"/>
              </w:rPr>
              <w:t>Reference:</w:t>
            </w:r>
          </w:p>
          <w:p w:rsidR="00F53F88" w:rsidRPr="007121AD" w:rsidRDefault="00F53F88" w:rsidP="002313F6">
            <w:pPr>
              <w:rPr>
                <w:rFonts w:ascii="Verdana" w:hAnsi="Verdana" w:cs="Arial"/>
                <w:sz w:val="18"/>
              </w:rPr>
            </w:pPr>
            <w:r w:rsidRPr="007121AD">
              <w:rPr>
                <w:rFonts w:ascii="Verdana" w:hAnsi="Verdana" w:cs="Arial"/>
                <w:sz w:val="18"/>
              </w:rPr>
              <w:t xml:space="preserve">The Suzy </w:t>
            </w:r>
            <w:proofErr w:type="spellStart"/>
            <w:r w:rsidRPr="007121AD">
              <w:rPr>
                <w:rFonts w:ascii="Verdana" w:hAnsi="Verdana" w:cs="Arial"/>
                <w:sz w:val="18"/>
              </w:rPr>
              <w:t>Lamplugh</w:t>
            </w:r>
            <w:proofErr w:type="spellEnd"/>
            <w:r w:rsidRPr="007121AD">
              <w:rPr>
                <w:rFonts w:ascii="Verdana" w:hAnsi="Verdana" w:cs="Arial"/>
                <w:sz w:val="18"/>
              </w:rPr>
              <w:t xml:space="preserve"> Trust</w:t>
            </w:r>
          </w:p>
          <w:p w:rsidR="00F53F88" w:rsidRPr="007121AD" w:rsidRDefault="007121AD" w:rsidP="002313F6">
            <w:pPr>
              <w:rPr>
                <w:rFonts w:ascii="Verdana" w:hAnsi="Verdana" w:cs="Arial"/>
                <w:sz w:val="18"/>
              </w:rPr>
            </w:pPr>
            <w:hyperlink r:id="rId8" w:history="1">
              <w:r w:rsidR="00F53F88" w:rsidRPr="007121AD">
                <w:rPr>
                  <w:rStyle w:val="Hyperlink"/>
                  <w:rFonts w:ascii="Verdana" w:hAnsi="Verdana" w:cs="Arial"/>
                  <w:sz w:val="18"/>
                </w:rPr>
                <w:t>www.educare.co.uk/learningwitheducare</w:t>
              </w:r>
            </w:hyperlink>
          </w:p>
          <w:p w:rsidR="00F53F88" w:rsidRPr="007121AD" w:rsidRDefault="00F53F88" w:rsidP="002313F6">
            <w:pPr>
              <w:rPr>
                <w:rFonts w:ascii="Verdana" w:hAnsi="Verdana"/>
                <w:sz w:val="18"/>
              </w:rPr>
            </w:pPr>
          </w:p>
          <w:p w:rsidR="00F53F88" w:rsidRPr="007121AD" w:rsidRDefault="00F53F88" w:rsidP="002313F6">
            <w:pPr>
              <w:rPr>
                <w:rFonts w:ascii="Verdana" w:hAnsi="Verdana" w:cs="Arial"/>
                <w:sz w:val="18"/>
                <w:szCs w:val="22"/>
              </w:rPr>
            </w:pPr>
          </w:p>
        </w:tc>
      </w:tr>
      <w:tr w:rsidR="00E870BF" w:rsidRPr="007121AD" w:rsidTr="00E870BF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576"/>
        </w:trPr>
        <w:tc>
          <w:tcPr>
            <w:tcW w:w="588" w:type="dxa"/>
            <w:hideMark/>
          </w:tcPr>
          <w:p w:rsidR="00E870BF" w:rsidRPr="007121AD" w:rsidRDefault="00E870B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121AD">
              <w:rPr>
                <w:rFonts w:ascii="Verdana" w:hAnsi="Verdana" w:cs="Arial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374" w:type="dxa"/>
            <w:gridSpan w:val="4"/>
            <w:hideMark/>
          </w:tcPr>
          <w:p w:rsidR="00E870BF" w:rsidRPr="007121AD" w:rsidRDefault="00E870BF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121AD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E870BF" w:rsidRPr="007121AD" w:rsidTr="00E870BF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588" w:type="dxa"/>
          </w:tcPr>
          <w:p w:rsidR="00E870BF" w:rsidRPr="007121AD" w:rsidRDefault="00E870B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4"/>
          </w:tcPr>
          <w:p w:rsidR="00E870BF" w:rsidRPr="007121AD" w:rsidRDefault="00E870BF" w:rsidP="00E870BF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7121AD">
              <w:rPr>
                <w:rFonts w:ascii="Verdana" w:hAnsi="Verdana" w:cs="Arial"/>
                <w:sz w:val="18"/>
                <w:szCs w:val="22"/>
              </w:rPr>
              <w:t xml:space="preserve">None </w:t>
            </w:r>
          </w:p>
          <w:p w:rsidR="00E870BF" w:rsidRPr="007121AD" w:rsidRDefault="00E870BF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</w:tr>
    </w:tbl>
    <w:p w:rsidR="00F53F88" w:rsidRPr="007121AD" w:rsidRDefault="00F53F88" w:rsidP="00F53F88">
      <w:pPr>
        <w:rPr>
          <w:rFonts w:ascii="Verdana" w:hAnsi="Verdana" w:cs="Arial"/>
          <w:sz w:val="22"/>
          <w:szCs w:val="22"/>
        </w:rPr>
      </w:pPr>
    </w:p>
    <w:p w:rsidR="007121AD" w:rsidRPr="009F39F8" w:rsidRDefault="007121AD" w:rsidP="007121AD">
      <w:pPr>
        <w:pBdr>
          <w:bottom w:val="single" w:sz="6" w:space="1" w:color="auto"/>
        </w:pBdr>
        <w:jc w:val="both"/>
        <w:rPr>
          <w:rFonts w:ascii="Verdana" w:hAnsi="Verdana" w:cs="Arial"/>
          <w:sz w:val="18"/>
          <w:szCs w:val="22"/>
        </w:rPr>
      </w:pPr>
      <w:bookmarkStart w:id="0" w:name="_GoBack"/>
    </w:p>
    <w:p w:rsidR="007121AD" w:rsidRPr="009F39F8" w:rsidRDefault="007121AD" w:rsidP="007121AD">
      <w:pPr>
        <w:jc w:val="both"/>
        <w:rPr>
          <w:rFonts w:ascii="Verdana" w:hAnsi="Verdana" w:cs="Arial"/>
          <w:sz w:val="18"/>
          <w:szCs w:val="22"/>
        </w:rPr>
      </w:pPr>
    </w:p>
    <w:p w:rsidR="007121AD" w:rsidRPr="009F39F8" w:rsidRDefault="007121AD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7121AD" w:rsidRPr="009F39F8" w:rsidRDefault="007121AD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</w:p>
    <w:p w:rsidR="007121AD" w:rsidRPr="009F39F8" w:rsidRDefault="007121AD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7121AD" w:rsidRPr="009F39F8" w:rsidRDefault="007121AD" w:rsidP="007121AD">
      <w:pPr>
        <w:ind w:firstLine="720"/>
        <w:rPr>
          <w:rFonts w:ascii="Verdana" w:hAnsi="Verdana" w:cs="Arial"/>
          <w:sz w:val="18"/>
          <w:szCs w:val="22"/>
        </w:rPr>
      </w:pPr>
    </w:p>
    <w:p w:rsidR="007121AD" w:rsidRPr="009F39F8" w:rsidRDefault="007121AD" w:rsidP="007121AD">
      <w:pPr>
        <w:rPr>
          <w:rFonts w:ascii="Verdana" w:hAnsi="Verdana" w:cs="Arial"/>
          <w:sz w:val="18"/>
          <w:szCs w:val="22"/>
        </w:rPr>
      </w:pPr>
    </w:p>
    <w:bookmarkEnd w:id="0"/>
    <w:p w:rsidR="007121AD" w:rsidRPr="009F39F8" w:rsidRDefault="007121AD" w:rsidP="007121AD">
      <w:pPr>
        <w:rPr>
          <w:rFonts w:ascii="Verdana" w:hAnsi="Verdana" w:cs="Arial"/>
          <w:sz w:val="18"/>
          <w:szCs w:val="22"/>
        </w:rPr>
      </w:pPr>
    </w:p>
    <w:p w:rsidR="00FF2EDD" w:rsidRPr="007121AD" w:rsidRDefault="00FF2EDD">
      <w:pPr>
        <w:rPr>
          <w:rFonts w:ascii="Verdana" w:hAnsi="Verdana" w:cs="Arial"/>
          <w:sz w:val="22"/>
          <w:szCs w:val="22"/>
        </w:rPr>
      </w:pPr>
    </w:p>
    <w:sectPr w:rsidR="00FF2EDD" w:rsidRPr="007121AD" w:rsidSect="00626CEE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40" w:rsidRDefault="00A53940" w:rsidP="00FE1D92">
      <w:r>
        <w:separator/>
      </w:r>
    </w:p>
  </w:endnote>
  <w:endnote w:type="continuationSeparator" w:id="0">
    <w:p w:rsidR="00A53940" w:rsidRDefault="00A53940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671839">
      <w:tc>
        <w:tcPr>
          <w:tcW w:w="8508" w:type="dxa"/>
        </w:tcPr>
        <w:p w:rsidR="00671839" w:rsidRPr="004D7BD8" w:rsidRDefault="007121AD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FF2809" w:rsidRPr="00FF2809">
            <w:rPr>
              <w:rFonts w:ascii="Arial" w:hAnsi="Arial" w:cs="Arial"/>
              <w:noProof/>
              <w:sz w:val="20"/>
              <w:szCs w:val="20"/>
            </w:rPr>
            <w:t>LONE WORKING POLICY V1.2</w:t>
          </w:r>
          <w:r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671839" w:rsidRPr="004D7BD8" w:rsidRDefault="00671839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>P</w:t>
          </w:r>
          <w:r>
            <w:rPr>
              <w:rFonts w:ascii="Arial" w:hAnsi="Arial" w:cs="Arial"/>
              <w:sz w:val="20"/>
              <w:szCs w:val="20"/>
            </w:rPr>
            <w:t>age</w:t>
          </w:r>
          <w:r w:rsidRPr="004D7BD8">
            <w:rPr>
              <w:rFonts w:ascii="Arial" w:hAnsi="Arial" w:cs="Arial"/>
              <w:sz w:val="20"/>
              <w:szCs w:val="20"/>
            </w:rPr>
            <w:t xml:space="preserve">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121AD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71839" w:rsidRDefault="00671839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671839">
      <w:tc>
        <w:tcPr>
          <w:tcW w:w="8508" w:type="dxa"/>
          <w:tcBorders>
            <w:top w:val="single" w:sz="4" w:space="0" w:color="auto"/>
          </w:tcBorders>
        </w:tcPr>
        <w:p w:rsidR="00671839" w:rsidRPr="00355E66" w:rsidRDefault="007121AD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FF2809" w:rsidRPr="00FF2809">
            <w:rPr>
              <w:rFonts w:ascii="Arial" w:hAnsi="Arial" w:cs="Arial"/>
              <w:noProof/>
              <w:sz w:val="20"/>
              <w:szCs w:val="20"/>
            </w:rPr>
            <w:t>LONE WORKING POLICY V1.2</w:t>
          </w:r>
          <w:r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671839" w:rsidRPr="00355E66" w:rsidRDefault="00671839" w:rsidP="00355E66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121AD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71839" w:rsidRDefault="00671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40" w:rsidRDefault="00A53940" w:rsidP="00FE1D92">
      <w:r>
        <w:separator/>
      </w:r>
    </w:p>
  </w:footnote>
  <w:footnote w:type="continuationSeparator" w:id="0">
    <w:p w:rsidR="00A53940" w:rsidRDefault="00A53940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06"/>
      <w:gridCol w:w="1247"/>
      <w:gridCol w:w="1252"/>
      <w:gridCol w:w="1254"/>
    </w:tblGrid>
    <w:tr w:rsidR="00671839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Default="007121AD" w:rsidP="00932016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b/>
              <w:sz w:val="16"/>
              <w:szCs w:val="18"/>
            </w:rPr>
          </w:pPr>
          <w:r w:rsidRPr="007121AD">
            <w:rPr>
              <w:rFonts w:ascii="Verdana" w:hAnsi="Verdana" w:cs="Arial"/>
              <w:b/>
              <w:sz w:val="16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E870BF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1.2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2E531A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821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376F4B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9 January 2013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E870BF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21 August 2009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2E531A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Health and Safety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E870BF" w:rsidRPr="00FF2EDD" w:rsidTr="00F2788E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E870BF" w:rsidRPr="007121AD" w:rsidRDefault="00E870BF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7121AD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870BF" w:rsidRPr="007121AD" w:rsidRDefault="00E870BF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870BF" w:rsidRPr="007121AD" w:rsidRDefault="00E870BF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Foster Care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Ed Nixon</w:t>
          </w:r>
        </w:p>
      </w:tc>
    </w:tr>
    <w:tr w:rsidR="00671839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671839" w:rsidRPr="00FE1D92" w:rsidRDefault="00671839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671839" w:rsidRPr="007121AD" w:rsidRDefault="00671839" w:rsidP="00932016">
          <w:pPr>
            <w:rPr>
              <w:rFonts w:ascii="Verdana" w:hAnsi="Verdana" w:cs="Arial"/>
              <w:sz w:val="16"/>
              <w:szCs w:val="18"/>
            </w:rPr>
          </w:pPr>
          <w:r w:rsidRPr="007121AD">
            <w:rPr>
              <w:rFonts w:ascii="Verdana" w:hAnsi="Verdana" w:cs="Arial"/>
              <w:sz w:val="16"/>
              <w:szCs w:val="18"/>
            </w:rPr>
            <w:t>Group Operations Manager</w:t>
          </w:r>
        </w:p>
      </w:tc>
    </w:tr>
  </w:tbl>
  <w:p w:rsidR="00671839" w:rsidRDefault="006718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30B56"/>
    <w:multiLevelType w:val="hybridMultilevel"/>
    <w:tmpl w:val="4CA271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5457F0A"/>
    <w:multiLevelType w:val="hybridMultilevel"/>
    <w:tmpl w:val="027A3B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EF5C91"/>
    <w:multiLevelType w:val="hybridMultilevel"/>
    <w:tmpl w:val="BDD2BC4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E030D"/>
    <w:multiLevelType w:val="hybridMultilevel"/>
    <w:tmpl w:val="6EDEB3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6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F6"/>
    <w:rsid w:val="00006E0E"/>
    <w:rsid w:val="00027C7B"/>
    <w:rsid w:val="00037B91"/>
    <w:rsid w:val="000409A9"/>
    <w:rsid w:val="00042E26"/>
    <w:rsid w:val="000531DD"/>
    <w:rsid w:val="00096B7D"/>
    <w:rsid w:val="000A4D82"/>
    <w:rsid w:val="000A5B68"/>
    <w:rsid w:val="000B7DD9"/>
    <w:rsid w:val="000C23ED"/>
    <w:rsid w:val="000C65D5"/>
    <w:rsid w:val="001000E1"/>
    <w:rsid w:val="00117534"/>
    <w:rsid w:val="0012742A"/>
    <w:rsid w:val="001426BD"/>
    <w:rsid w:val="0015076A"/>
    <w:rsid w:val="00166B40"/>
    <w:rsid w:val="001B0ADF"/>
    <w:rsid w:val="001B0E0F"/>
    <w:rsid w:val="001D64E4"/>
    <w:rsid w:val="001E750B"/>
    <w:rsid w:val="002313F6"/>
    <w:rsid w:val="00257578"/>
    <w:rsid w:val="00295E49"/>
    <w:rsid w:val="002A7FC4"/>
    <w:rsid w:val="002E531A"/>
    <w:rsid w:val="002F2640"/>
    <w:rsid w:val="002F3FA5"/>
    <w:rsid w:val="002F5D63"/>
    <w:rsid w:val="00314C16"/>
    <w:rsid w:val="00355E66"/>
    <w:rsid w:val="00376F4B"/>
    <w:rsid w:val="00383953"/>
    <w:rsid w:val="003938D0"/>
    <w:rsid w:val="003957A0"/>
    <w:rsid w:val="003A6E0A"/>
    <w:rsid w:val="003B5B70"/>
    <w:rsid w:val="003E47A8"/>
    <w:rsid w:val="003E7880"/>
    <w:rsid w:val="003E7AE4"/>
    <w:rsid w:val="00420E88"/>
    <w:rsid w:val="00436CEC"/>
    <w:rsid w:val="00474F30"/>
    <w:rsid w:val="004B6E27"/>
    <w:rsid w:val="004D7BD8"/>
    <w:rsid w:val="004F561A"/>
    <w:rsid w:val="00571091"/>
    <w:rsid w:val="00574477"/>
    <w:rsid w:val="0057554D"/>
    <w:rsid w:val="005963F3"/>
    <w:rsid w:val="005A3890"/>
    <w:rsid w:val="005A6B91"/>
    <w:rsid w:val="005E4B98"/>
    <w:rsid w:val="005F15E2"/>
    <w:rsid w:val="006051BF"/>
    <w:rsid w:val="0062517E"/>
    <w:rsid w:val="00625963"/>
    <w:rsid w:val="00626CEE"/>
    <w:rsid w:val="00627A84"/>
    <w:rsid w:val="006460A3"/>
    <w:rsid w:val="00651EFB"/>
    <w:rsid w:val="00671839"/>
    <w:rsid w:val="006B60F6"/>
    <w:rsid w:val="006B7507"/>
    <w:rsid w:val="006B7DB7"/>
    <w:rsid w:val="006C2A42"/>
    <w:rsid w:val="006C2F8C"/>
    <w:rsid w:val="006F0C3C"/>
    <w:rsid w:val="006F52AC"/>
    <w:rsid w:val="007121AD"/>
    <w:rsid w:val="00714342"/>
    <w:rsid w:val="00791652"/>
    <w:rsid w:val="007A1EB2"/>
    <w:rsid w:val="007A2A1D"/>
    <w:rsid w:val="0082295E"/>
    <w:rsid w:val="00843EDD"/>
    <w:rsid w:val="008538CB"/>
    <w:rsid w:val="0085441B"/>
    <w:rsid w:val="008838E3"/>
    <w:rsid w:val="008955C0"/>
    <w:rsid w:val="008A79B3"/>
    <w:rsid w:val="008B0235"/>
    <w:rsid w:val="008B1FDF"/>
    <w:rsid w:val="00900EE9"/>
    <w:rsid w:val="00923C59"/>
    <w:rsid w:val="009266F9"/>
    <w:rsid w:val="009307B2"/>
    <w:rsid w:val="00932016"/>
    <w:rsid w:val="00942BA4"/>
    <w:rsid w:val="0094729C"/>
    <w:rsid w:val="009615B1"/>
    <w:rsid w:val="00970CE5"/>
    <w:rsid w:val="00997CA5"/>
    <w:rsid w:val="009E2D2B"/>
    <w:rsid w:val="00A10171"/>
    <w:rsid w:val="00A2592A"/>
    <w:rsid w:val="00A313EA"/>
    <w:rsid w:val="00A47C7A"/>
    <w:rsid w:val="00A52FF5"/>
    <w:rsid w:val="00A53940"/>
    <w:rsid w:val="00A6145E"/>
    <w:rsid w:val="00A70D5C"/>
    <w:rsid w:val="00A86BCE"/>
    <w:rsid w:val="00AA0D9C"/>
    <w:rsid w:val="00AC6B15"/>
    <w:rsid w:val="00AC777F"/>
    <w:rsid w:val="00B01484"/>
    <w:rsid w:val="00B04D5F"/>
    <w:rsid w:val="00B10F5E"/>
    <w:rsid w:val="00B648BB"/>
    <w:rsid w:val="00B708DC"/>
    <w:rsid w:val="00BE2308"/>
    <w:rsid w:val="00C37C94"/>
    <w:rsid w:val="00C45FD2"/>
    <w:rsid w:val="00C50104"/>
    <w:rsid w:val="00C50942"/>
    <w:rsid w:val="00C5436A"/>
    <w:rsid w:val="00C561F8"/>
    <w:rsid w:val="00C84227"/>
    <w:rsid w:val="00C844B3"/>
    <w:rsid w:val="00CA0AFD"/>
    <w:rsid w:val="00CB4B5F"/>
    <w:rsid w:val="00CC05A8"/>
    <w:rsid w:val="00CC11A2"/>
    <w:rsid w:val="00CC4A42"/>
    <w:rsid w:val="00D2312E"/>
    <w:rsid w:val="00D43F59"/>
    <w:rsid w:val="00D861B5"/>
    <w:rsid w:val="00D90CF8"/>
    <w:rsid w:val="00DA2BF1"/>
    <w:rsid w:val="00DC3A27"/>
    <w:rsid w:val="00DC4D91"/>
    <w:rsid w:val="00DE062F"/>
    <w:rsid w:val="00DE7E52"/>
    <w:rsid w:val="00E116A4"/>
    <w:rsid w:val="00E33712"/>
    <w:rsid w:val="00E639E1"/>
    <w:rsid w:val="00E7547F"/>
    <w:rsid w:val="00E870BF"/>
    <w:rsid w:val="00F05A0D"/>
    <w:rsid w:val="00F2531F"/>
    <w:rsid w:val="00F44118"/>
    <w:rsid w:val="00F53F88"/>
    <w:rsid w:val="00FE1D92"/>
    <w:rsid w:val="00FF2809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F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character" w:styleId="Hyperlink">
    <w:name w:val="Hyperlink"/>
    <w:basedOn w:val="DefaultParagraphFont"/>
    <w:rsid w:val="00F53F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7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F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character" w:styleId="Hyperlink">
    <w:name w:val="Hyperlink"/>
    <w:basedOn w:val="DefaultParagraphFont"/>
    <w:rsid w:val="00F53F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7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e.co.uk/learningwitheducar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3410</CharactersWithSpaces>
  <SharedDoc>false</SharedDoc>
  <HLinks>
    <vt:vector size="6" baseType="variant"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http://www.educare.co.uk/learningwitheducare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Ed Nixon</dc:creator>
  <cp:lastModifiedBy>Clare Gorton</cp:lastModifiedBy>
  <cp:revision>6</cp:revision>
  <cp:lastPrinted>2014-10-07T12:53:00Z</cp:lastPrinted>
  <dcterms:created xsi:type="dcterms:W3CDTF">2013-01-09T13:31:00Z</dcterms:created>
  <dcterms:modified xsi:type="dcterms:W3CDTF">2016-11-08T08:27:00Z</dcterms:modified>
</cp:coreProperties>
</file>