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7E" w:rsidRDefault="005B651C" w:rsidP="005B651C">
      <w:pPr>
        <w:tabs>
          <w:tab w:val="left" w:pos="1635"/>
        </w:tabs>
        <w:ind w:left="720"/>
        <w:jc w:val="center"/>
        <w:rPr>
          <w:rFonts w:asciiTheme="minorHAnsi" w:hAnsiTheme="minorHAnsi" w:cstheme="minorHAnsi"/>
          <w:b/>
        </w:rPr>
      </w:pPr>
      <w:r w:rsidRPr="005B651C">
        <w:rPr>
          <w:rFonts w:asciiTheme="minorHAnsi" w:hAnsiTheme="minorHAnsi" w:cstheme="minorHAnsi"/>
          <w:b/>
        </w:rPr>
        <w:t>Revised Process for Child Protection Conferences:  CP consultations from front door to conference/Re-referrals for Initial Conferences/Child in Need Reviewing</w:t>
      </w:r>
    </w:p>
    <w:p w:rsidR="005B651C" w:rsidRDefault="005B651C" w:rsidP="005B651C">
      <w:pPr>
        <w:tabs>
          <w:tab w:val="left" w:pos="1635"/>
        </w:tabs>
        <w:ind w:left="720"/>
        <w:jc w:val="center"/>
        <w:rPr>
          <w:rFonts w:asciiTheme="minorHAnsi" w:hAnsiTheme="minorHAnsi" w:cstheme="minorHAnsi"/>
          <w:b/>
        </w:rPr>
      </w:pPr>
    </w:p>
    <w:p w:rsidR="005B651C" w:rsidRDefault="005B651C" w:rsidP="005B651C">
      <w:pPr>
        <w:tabs>
          <w:tab w:val="left" w:pos="1635"/>
        </w:tabs>
        <w:ind w:left="720"/>
        <w:jc w:val="center"/>
        <w:rPr>
          <w:rFonts w:asciiTheme="minorHAnsi" w:hAnsiTheme="minorHAnsi" w:cstheme="minorHAnsi"/>
          <w:b/>
        </w:rPr>
      </w:pPr>
    </w:p>
    <w:p w:rsidR="005B651C" w:rsidRPr="005B651C" w:rsidRDefault="006358BB" w:rsidP="005B651C">
      <w:pPr>
        <w:tabs>
          <w:tab w:val="left" w:pos="1635"/>
        </w:tabs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These changes to our procedures</w:t>
      </w:r>
      <w:r w:rsidR="005B651C">
        <w:rPr>
          <w:rFonts w:asciiTheme="minorHAnsi" w:hAnsiTheme="minorHAnsi" w:cstheme="minorHAnsi"/>
          <w:b/>
        </w:rPr>
        <w:t xml:space="preserve"> have been agreed by Service Managers and signed off by Senior Management team.  They are to be followed as from they have been launched at next Manager’s meeting.</w:t>
      </w:r>
    </w:p>
    <w:p w:rsidR="005B651C" w:rsidRDefault="005B651C" w:rsidP="00CC377E">
      <w:pPr>
        <w:tabs>
          <w:tab w:val="left" w:pos="1635"/>
        </w:tabs>
        <w:ind w:left="720"/>
        <w:rPr>
          <w:rFonts w:asciiTheme="minorHAnsi" w:hAnsiTheme="minorHAnsi" w:cstheme="minorHAnsi"/>
        </w:rPr>
      </w:pPr>
    </w:p>
    <w:p w:rsidR="004902E2" w:rsidRDefault="00A75D38" w:rsidP="005B651C">
      <w:pPr>
        <w:tabs>
          <w:tab w:val="left" w:pos="709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CC377E" w:rsidRPr="005B651C">
        <w:rPr>
          <w:rFonts w:asciiTheme="minorHAnsi" w:hAnsiTheme="minorHAnsi" w:cstheme="minorHAnsi"/>
          <w:b/>
        </w:rPr>
        <w:t>Strategy Meeting</w:t>
      </w:r>
      <w:r w:rsidR="00CC377E">
        <w:rPr>
          <w:rFonts w:asciiTheme="minorHAnsi" w:hAnsiTheme="minorHAnsi" w:cstheme="minorHAnsi"/>
        </w:rPr>
        <w:t xml:space="preserve"> – </w:t>
      </w:r>
      <w:r w:rsidR="00E01C95">
        <w:rPr>
          <w:rFonts w:asciiTheme="minorHAnsi" w:hAnsiTheme="minorHAnsi" w:cstheme="minorHAnsi"/>
        </w:rPr>
        <w:t>Best practice:  expectation that there will be a consultation with</w:t>
      </w:r>
      <w:r>
        <w:rPr>
          <w:rFonts w:asciiTheme="minorHAnsi" w:hAnsiTheme="minorHAnsi" w:cstheme="minorHAnsi"/>
        </w:rPr>
        <w:t xml:space="preserve"> a</w:t>
      </w:r>
      <w:r w:rsidR="00E01C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CP chair</w:t>
      </w:r>
      <w:r w:rsidR="00CC37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 a decision to bring</w:t>
      </w:r>
      <w:r w:rsidR="00CA6AE0">
        <w:rPr>
          <w:rFonts w:asciiTheme="minorHAnsi" w:hAnsiTheme="minorHAnsi" w:cstheme="minorHAnsi"/>
        </w:rPr>
        <w:t xml:space="preserve"> to conference.</w:t>
      </w:r>
      <w:r>
        <w:rPr>
          <w:rFonts w:asciiTheme="minorHAnsi" w:hAnsiTheme="minorHAnsi" w:cstheme="minorHAnsi"/>
        </w:rPr>
        <w:t xml:space="preserve">  </w:t>
      </w:r>
      <w:r w:rsidR="004902E2">
        <w:rPr>
          <w:rFonts w:asciiTheme="minorHAnsi" w:hAnsiTheme="minorHAnsi" w:cstheme="minorHAnsi"/>
        </w:rPr>
        <w:t>CP chair will record that information on the LL Consultation form.</w:t>
      </w:r>
    </w:p>
    <w:p w:rsidR="00A75D38" w:rsidRDefault="00A75D38" w:rsidP="00A75D38">
      <w:pPr>
        <w:tabs>
          <w:tab w:val="left" w:pos="1635"/>
        </w:tabs>
        <w:ind w:left="720"/>
        <w:rPr>
          <w:rFonts w:asciiTheme="minorHAnsi" w:hAnsiTheme="minorHAnsi" w:cstheme="minorHAnsi"/>
        </w:rPr>
      </w:pPr>
    </w:p>
    <w:p w:rsidR="00CC377E" w:rsidRDefault="00A75D38" w:rsidP="00CC377E">
      <w:pPr>
        <w:tabs>
          <w:tab w:val="left" w:pos="1635"/>
        </w:tabs>
        <w:ind w:left="720"/>
        <w:rPr>
          <w:rFonts w:asciiTheme="minorHAnsi" w:hAnsiTheme="minorHAnsi" w:cstheme="minorHAnsi"/>
          <w:i/>
        </w:rPr>
      </w:pPr>
      <w:r w:rsidRPr="00A75D38">
        <w:rPr>
          <w:rFonts w:asciiTheme="minorHAnsi" w:hAnsiTheme="minorHAnsi" w:cstheme="minorHAnsi"/>
          <w:i/>
        </w:rPr>
        <w:t>The decision remains with the Frontline Manager, but this will assist in addressing cases that are coming to Initial Conference without evidence of work undertaken/information gathered.</w:t>
      </w:r>
    </w:p>
    <w:p w:rsidR="005B651C" w:rsidRDefault="005B651C" w:rsidP="00CC377E">
      <w:pPr>
        <w:tabs>
          <w:tab w:val="left" w:pos="1635"/>
        </w:tabs>
        <w:ind w:left="720"/>
        <w:rPr>
          <w:rFonts w:asciiTheme="minorHAnsi" w:hAnsiTheme="minorHAnsi" w:cstheme="minorHAnsi"/>
          <w:i/>
        </w:rPr>
      </w:pPr>
    </w:p>
    <w:p w:rsidR="005B651C" w:rsidRDefault="005B651C" w:rsidP="005B651C">
      <w:pPr>
        <w:tabs>
          <w:tab w:val="left" w:pos="1635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Pr="005B651C">
        <w:rPr>
          <w:rFonts w:asciiTheme="minorHAnsi" w:hAnsiTheme="minorHAnsi" w:cstheme="minorHAnsi"/>
          <w:b/>
        </w:rPr>
        <w:t>Best practice for frontline social workers when considering a CP conference</w:t>
      </w:r>
      <w:r>
        <w:rPr>
          <w:rFonts w:asciiTheme="minorHAnsi" w:hAnsiTheme="minorHAnsi" w:cstheme="minorHAnsi"/>
        </w:rPr>
        <w:t xml:space="preserve"> (primarily in longer term cases open as Children in Need) – to have discussion with a CP Chair before making the referral through the s47 process.  CP chair will record that information on the LL Consultation form.</w:t>
      </w:r>
    </w:p>
    <w:p w:rsidR="005B651C" w:rsidRDefault="005B651C" w:rsidP="00CC377E">
      <w:pPr>
        <w:tabs>
          <w:tab w:val="left" w:pos="1635"/>
        </w:tabs>
        <w:ind w:left="720"/>
        <w:rPr>
          <w:rFonts w:asciiTheme="minorHAnsi" w:hAnsiTheme="minorHAnsi" w:cstheme="minorHAnsi"/>
        </w:rPr>
      </w:pPr>
    </w:p>
    <w:p w:rsidR="00A75D38" w:rsidRDefault="00A75D38" w:rsidP="00CC377E">
      <w:pPr>
        <w:tabs>
          <w:tab w:val="left" w:pos="1635"/>
        </w:tabs>
        <w:ind w:left="720"/>
        <w:rPr>
          <w:rFonts w:asciiTheme="minorHAnsi" w:hAnsiTheme="minorHAnsi" w:cstheme="minorHAnsi"/>
        </w:rPr>
      </w:pPr>
    </w:p>
    <w:p w:rsidR="00A75D38" w:rsidRDefault="005B651C" w:rsidP="00CC377E">
      <w:pPr>
        <w:tabs>
          <w:tab w:val="left" w:pos="1635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75D38">
        <w:rPr>
          <w:rFonts w:asciiTheme="minorHAnsi" w:hAnsiTheme="minorHAnsi" w:cstheme="minorHAnsi"/>
        </w:rPr>
        <w:t xml:space="preserve">.  </w:t>
      </w:r>
      <w:r w:rsidR="00A75D38" w:rsidRPr="005B651C">
        <w:rPr>
          <w:rFonts w:asciiTheme="minorHAnsi" w:hAnsiTheme="minorHAnsi" w:cstheme="minorHAnsi"/>
          <w:b/>
        </w:rPr>
        <w:t>Re-referrals for Initial Conference</w:t>
      </w:r>
      <w:r w:rsidR="00CA6AE0">
        <w:rPr>
          <w:rFonts w:asciiTheme="minorHAnsi" w:hAnsiTheme="minorHAnsi" w:cstheme="minorHAnsi"/>
        </w:rPr>
        <w:t xml:space="preserve"> – </w:t>
      </w:r>
      <w:r w:rsidR="00A75D38">
        <w:rPr>
          <w:rFonts w:asciiTheme="minorHAnsi" w:hAnsiTheme="minorHAnsi" w:cstheme="minorHAnsi"/>
        </w:rPr>
        <w:t xml:space="preserve">Team manager and social worker to </w:t>
      </w:r>
      <w:r w:rsidR="00CA6AE0">
        <w:rPr>
          <w:rFonts w:asciiTheme="minorHAnsi" w:hAnsiTheme="minorHAnsi" w:cstheme="minorHAnsi"/>
        </w:rPr>
        <w:t>book a case mapping</w:t>
      </w:r>
      <w:r w:rsidR="00E01C95">
        <w:rPr>
          <w:rFonts w:asciiTheme="minorHAnsi" w:hAnsiTheme="minorHAnsi" w:cstheme="minorHAnsi"/>
        </w:rPr>
        <w:t xml:space="preserve"> with</w:t>
      </w:r>
      <w:r w:rsidR="00A75D38">
        <w:rPr>
          <w:rFonts w:asciiTheme="minorHAnsi" w:hAnsiTheme="minorHAnsi" w:cstheme="minorHAnsi"/>
        </w:rPr>
        <w:t xml:space="preserve"> a frontline service manager.</w:t>
      </w:r>
    </w:p>
    <w:p w:rsidR="00CA6AE0" w:rsidRPr="00A75D38" w:rsidRDefault="00E01C95" w:rsidP="00CC377E">
      <w:pPr>
        <w:tabs>
          <w:tab w:val="left" w:pos="1635"/>
        </w:tabs>
        <w:ind w:left="720"/>
        <w:rPr>
          <w:rFonts w:asciiTheme="minorHAnsi" w:hAnsiTheme="minorHAnsi" w:cstheme="minorHAnsi"/>
          <w:i/>
        </w:rPr>
      </w:pPr>
      <w:r w:rsidRPr="00A75D38">
        <w:rPr>
          <w:rFonts w:asciiTheme="minorHAnsi" w:hAnsiTheme="minorHAnsi" w:cstheme="minorHAnsi"/>
          <w:i/>
        </w:rPr>
        <w:t xml:space="preserve"> </w:t>
      </w:r>
      <w:r w:rsidR="00A75D38" w:rsidRPr="00A75D38">
        <w:rPr>
          <w:rFonts w:asciiTheme="minorHAnsi" w:hAnsiTheme="minorHAnsi" w:cstheme="minorHAnsi"/>
          <w:i/>
        </w:rPr>
        <w:t xml:space="preserve">This will be the </w:t>
      </w:r>
      <w:r w:rsidRPr="00A75D38">
        <w:rPr>
          <w:rFonts w:asciiTheme="minorHAnsi" w:hAnsiTheme="minorHAnsi" w:cstheme="minorHAnsi"/>
          <w:i/>
        </w:rPr>
        <w:t>same process as LPM’s and complex cases.</w:t>
      </w:r>
    </w:p>
    <w:p w:rsidR="00A75D38" w:rsidRDefault="00A75D38" w:rsidP="00CC377E">
      <w:pPr>
        <w:tabs>
          <w:tab w:val="left" w:pos="1635"/>
        </w:tabs>
        <w:ind w:left="720"/>
        <w:rPr>
          <w:rFonts w:asciiTheme="minorHAnsi" w:hAnsiTheme="minorHAnsi" w:cstheme="minorHAnsi"/>
        </w:rPr>
      </w:pPr>
    </w:p>
    <w:p w:rsidR="00F40E48" w:rsidRDefault="00F40E48" w:rsidP="004902E2">
      <w:pPr>
        <w:tabs>
          <w:tab w:val="left" w:pos="1635"/>
        </w:tabs>
        <w:rPr>
          <w:rFonts w:asciiTheme="minorHAnsi" w:hAnsiTheme="minorHAnsi" w:cstheme="minorHAnsi"/>
        </w:rPr>
      </w:pPr>
    </w:p>
    <w:p w:rsidR="00D84C97" w:rsidRDefault="00A75D38" w:rsidP="00CC377E">
      <w:pPr>
        <w:tabs>
          <w:tab w:val="left" w:pos="1635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5B651C">
        <w:rPr>
          <w:rFonts w:asciiTheme="minorHAnsi" w:hAnsiTheme="minorHAnsi" w:cstheme="minorHAnsi"/>
          <w:b/>
        </w:rPr>
        <w:t>CP Chairs role in Case Mapping Child in Need cases</w:t>
      </w:r>
      <w:r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:rsidR="00A75D38" w:rsidRDefault="00A75D38" w:rsidP="00CC377E">
      <w:pPr>
        <w:tabs>
          <w:tab w:val="left" w:pos="1635"/>
        </w:tabs>
        <w:ind w:left="720"/>
        <w:rPr>
          <w:rFonts w:asciiTheme="minorHAnsi" w:hAnsiTheme="minorHAnsi" w:cstheme="minorHAnsi"/>
        </w:rPr>
      </w:pPr>
    </w:p>
    <w:p w:rsidR="004902E2" w:rsidRDefault="00A75D38" w:rsidP="00CC377E">
      <w:pPr>
        <w:tabs>
          <w:tab w:val="left" w:pos="1635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aim of this process is to provide an independent oversight of cases that that </w:t>
      </w:r>
      <w:r w:rsidR="004902E2">
        <w:rPr>
          <w:rFonts w:asciiTheme="minorHAnsi" w:hAnsiTheme="minorHAnsi" w:cstheme="minorHAnsi"/>
        </w:rPr>
        <w:t>has</w:t>
      </w:r>
      <w:r>
        <w:rPr>
          <w:rFonts w:asciiTheme="minorHAnsi" w:hAnsiTheme="minorHAnsi" w:cstheme="minorHAnsi"/>
        </w:rPr>
        <w:t xml:space="preserve"> been open </w:t>
      </w:r>
      <w:r w:rsidR="004902E2">
        <w:rPr>
          <w:rFonts w:asciiTheme="minorHAnsi" w:hAnsiTheme="minorHAnsi" w:cstheme="minorHAnsi"/>
        </w:rPr>
        <w:t xml:space="preserve">for 12 months or more.  These will be identified by the Family Support and Child Protection Service Manager.  </w:t>
      </w:r>
    </w:p>
    <w:p w:rsidR="004902E2" w:rsidRDefault="004902E2" w:rsidP="00CC377E">
      <w:pPr>
        <w:tabs>
          <w:tab w:val="left" w:pos="1635"/>
        </w:tabs>
        <w:ind w:left="720"/>
        <w:rPr>
          <w:rFonts w:asciiTheme="minorHAnsi" w:hAnsiTheme="minorHAnsi" w:cstheme="minorHAnsi"/>
        </w:rPr>
      </w:pPr>
    </w:p>
    <w:p w:rsidR="004902E2" w:rsidRDefault="004902E2" w:rsidP="004902E2">
      <w:pPr>
        <w:tabs>
          <w:tab w:val="left" w:pos="1635"/>
        </w:tabs>
        <w:ind w:left="16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Collette will provide a list of cases on a monthly basis to the QA Administration Manager, who will allocate out to CP Chairs to complete in that month, which will allow for flexibility in CP conference requirements which fluctuate.</w:t>
      </w:r>
    </w:p>
    <w:p w:rsidR="004902E2" w:rsidRDefault="004902E2" w:rsidP="00CC377E">
      <w:pPr>
        <w:tabs>
          <w:tab w:val="left" w:pos="1635"/>
        </w:tabs>
        <w:ind w:left="720"/>
        <w:rPr>
          <w:rFonts w:asciiTheme="minorHAnsi" w:hAnsiTheme="minorHAnsi" w:cstheme="minorHAnsi"/>
        </w:rPr>
      </w:pPr>
    </w:p>
    <w:p w:rsidR="004902E2" w:rsidRDefault="004902E2" w:rsidP="00CC377E">
      <w:pPr>
        <w:tabs>
          <w:tab w:val="left" w:pos="1635"/>
        </w:tabs>
        <w:ind w:left="720"/>
        <w:rPr>
          <w:rFonts w:asciiTheme="minorHAnsi" w:hAnsiTheme="minorHAnsi" w:cstheme="minorHAnsi"/>
        </w:rPr>
      </w:pPr>
    </w:p>
    <w:p w:rsidR="00A75D38" w:rsidRDefault="004902E2" w:rsidP="004902E2">
      <w:pPr>
        <w:tabs>
          <w:tab w:val="left" w:pos="1635"/>
        </w:tabs>
        <w:ind w:left="16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If these cases have been recently Case Mapped, the Chair will review the case mapping to ensure it has provided a good plan which is being progressed.</w:t>
      </w:r>
    </w:p>
    <w:p w:rsidR="004902E2" w:rsidRDefault="004902E2" w:rsidP="004902E2">
      <w:pPr>
        <w:tabs>
          <w:tab w:val="left" w:pos="1635"/>
        </w:tabs>
        <w:ind w:left="1635"/>
        <w:rPr>
          <w:rFonts w:asciiTheme="minorHAnsi" w:hAnsiTheme="minorHAnsi" w:cstheme="minorHAnsi"/>
        </w:rPr>
      </w:pPr>
    </w:p>
    <w:p w:rsidR="004902E2" w:rsidRDefault="004902E2" w:rsidP="004902E2">
      <w:pPr>
        <w:tabs>
          <w:tab w:val="left" w:pos="1635"/>
        </w:tabs>
        <w:ind w:left="16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Otherwise the Chair will arrange a case mapping exercise with the social worker and supervisor/team manager.</w:t>
      </w:r>
    </w:p>
    <w:p w:rsidR="004902E2" w:rsidRDefault="004902E2" w:rsidP="004902E2">
      <w:pPr>
        <w:tabs>
          <w:tab w:val="left" w:pos="16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4902E2" w:rsidRDefault="004902E2" w:rsidP="00CC377E">
      <w:pPr>
        <w:tabs>
          <w:tab w:val="left" w:pos="1635"/>
        </w:tabs>
        <w:ind w:left="720"/>
        <w:rPr>
          <w:rFonts w:asciiTheme="minorHAnsi" w:hAnsiTheme="minorHAnsi" w:cstheme="minorHAnsi"/>
        </w:rPr>
      </w:pPr>
    </w:p>
    <w:p w:rsidR="00CC377E" w:rsidRDefault="00CC377E" w:rsidP="00CC377E">
      <w:pPr>
        <w:tabs>
          <w:tab w:val="left" w:pos="1635"/>
        </w:tabs>
        <w:ind w:left="720"/>
        <w:rPr>
          <w:rFonts w:asciiTheme="minorHAnsi" w:hAnsiTheme="minorHAnsi" w:cstheme="minorHAnsi"/>
        </w:rPr>
      </w:pPr>
    </w:p>
    <w:p w:rsidR="00CC377E" w:rsidRDefault="00CC377E" w:rsidP="00105E31">
      <w:pPr>
        <w:tabs>
          <w:tab w:val="left" w:pos="1635"/>
        </w:tabs>
        <w:rPr>
          <w:rFonts w:asciiTheme="minorHAnsi" w:hAnsiTheme="minorHAnsi" w:cstheme="minorHAnsi"/>
        </w:rPr>
      </w:pPr>
    </w:p>
    <w:p w:rsidR="00CC377E" w:rsidRDefault="00CC377E" w:rsidP="00105E31">
      <w:pPr>
        <w:tabs>
          <w:tab w:val="left" w:pos="1635"/>
        </w:tabs>
        <w:rPr>
          <w:rFonts w:asciiTheme="minorHAnsi" w:hAnsiTheme="minorHAnsi" w:cstheme="minorHAnsi"/>
        </w:rPr>
      </w:pPr>
    </w:p>
    <w:p w:rsidR="002B6A73" w:rsidRDefault="002B6A73" w:rsidP="00105E31">
      <w:pPr>
        <w:tabs>
          <w:tab w:val="left" w:pos="1635"/>
        </w:tabs>
      </w:pPr>
    </w:p>
    <w:p w:rsidR="00ED0611" w:rsidRPr="0032573B" w:rsidRDefault="00ED0611" w:rsidP="002B6A73"/>
    <w:sectPr w:rsidR="00ED0611" w:rsidRPr="0032573B" w:rsidSect="0031358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38" w:rsidRDefault="00A75D38" w:rsidP="00F60914">
      <w:r>
        <w:separator/>
      </w:r>
    </w:p>
  </w:endnote>
  <w:endnote w:type="continuationSeparator" w:id="0">
    <w:p w:rsidR="00A75D38" w:rsidRDefault="00A75D38" w:rsidP="00F6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38" w:rsidRDefault="00A75D38" w:rsidP="00F60914">
      <w:r>
        <w:separator/>
      </w:r>
    </w:p>
  </w:footnote>
  <w:footnote w:type="continuationSeparator" w:id="0">
    <w:p w:rsidR="00A75D38" w:rsidRDefault="00A75D38" w:rsidP="00F60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38" w:rsidRDefault="00A75D38" w:rsidP="00F609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62D"/>
    <w:multiLevelType w:val="hybridMultilevel"/>
    <w:tmpl w:val="D24E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A20"/>
    <w:multiLevelType w:val="hybridMultilevel"/>
    <w:tmpl w:val="01EAD346"/>
    <w:lvl w:ilvl="0" w:tplc="94B8E9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D43"/>
    <w:multiLevelType w:val="hybridMultilevel"/>
    <w:tmpl w:val="25EA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0A27"/>
    <w:multiLevelType w:val="multilevel"/>
    <w:tmpl w:val="4BBAB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45721"/>
    <w:multiLevelType w:val="hybridMultilevel"/>
    <w:tmpl w:val="18CCC6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36A7C"/>
    <w:multiLevelType w:val="hybridMultilevel"/>
    <w:tmpl w:val="CF16FBDC"/>
    <w:lvl w:ilvl="0" w:tplc="D6121F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0A2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201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442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E89E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20A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6850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C53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065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7F17AC2"/>
    <w:multiLevelType w:val="hybridMultilevel"/>
    <w:tmpl w:val="FC98D94C"/>
    <w:lvl w:ilvl="0" w:tplc="95D20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6A01EB"/>
    <w:multiLevelType w:val="hybridMultilevel"/>
    <w:tmpl w:val="D1309710"/>
    <w:lvl w:ilvl="0" w:tplc="B3401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FF7499"/>
    <w:multiLevelType w:val="hybridMultilevel"/>
    <w:tmpl w:val="3AFC68CA"/>
    <w:lvl w:ilvl="0" w:tplc="98DE01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5111D"/>
    <w:multiLevelType w:val="hybridMultilevel"/>
    <w:tmpl w:val="A656C6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0A"/>
    <w:rsid w:val="000250AF"/>
    <w:rsid w:val="00070744"/>
    <w:rsid w:val="000B48A6"/>
    <w:rsid w:val="000B767B"/>
    <w:rsid w:val="00105E31"/>
    <w:rsid w:val="00111E44"/>
    <w:rsid w:val="00113EF5"/>
    <w:rsid w:val="00131CB1"/>
    <w:rsid w:val="00142E35"/>
    <w:rsid w:val="00190738"/>
    <w:rsid w:val="00191A6B"/>
    <w:rsid w:val="00194FEA"/>
    <w:rsid w:val="002107A1"/>
    <w:rsid w:val="00265C2D"/>
    <w:rsid w:val="002B6A73"/>
    <w:rsid w:val="002E372F"/>
    <w:rsid w:val="002E5C7A"/>
    <w:rsid w:val="0031358F"/>
    <w:rsid w:val="0032573B"/>
    <w:rsid w:val="0032793D"/>
    <w:rsid w:val="00352468"/>
    <w:rsid w:val="0035389B"/>
    <w:rsid w:val="0035586C"/>
    <w:rsid w:val="00370D32"/>
    <w:rsid w:val="00385823"/>
    <w:rsid w:val="003926C7"/>
    <w:rsid w:val="00397F34"/>
    <w:rsid w:val="00465251"/>
    <w:rsid w:val="00467B9E"/>
    <w:rsid w:val="00486A54"/>
    <w:rsid w:val="004902D9"/>
    <w:rsid w:val="004902E2"/>
    <w:rsid w:val="00595B58"/>
    <w:rsid w:val="005B651C"/>
    <w:rsid w:val="00620EFE"/>
    <w:rsid w:val="006234FD"/>
    <w:rsid w:val="006358BB"/>
    <w:rsid w:val="00695741"/>
    <w:rsid w:val="006A0DFA"/>
    <w:rsid w:val="006A3EAE"/>
    <w:rsid w:val="007111BD"/>
    <w:rsid w:val="00712A79"/>
    <w:rsid w:val="0073798D"/>
    <w:rsid w:val="00746605"/>
    <w:rsid w:val="00751BDB"/>
    <w:rsid w:val="007627F1"/>
    <w:rsid w:val="007E16BC"/>
    <w:rsid w:val="00850FE3"/>
    <w:rsid w:val="00860A0A"/>
    <w:rsid w:val="00885AE0"/>
    <w:rsid w:val="008A0C37"/>
    <w:rsid w:val="008C73D3"/>
    <w:rsid w:val="008E4271"/>
    <w:rsid w:val="00921480"/>
    <w:rsid w:val="00923FFE"/>
    <w:rsid w:val="00954B41"/>
    <w:rsid w:val="009B3313"/>
    <w:rsid w:val="00A33CF9"/>
    <w:rsid w:val="00A46D90"/>
    <w:rsid w:val="00A75D38"/>
    <w:rsid w:val="00A86B59"/>
    <w:rsid w:val="00AC2397"/>
    <w:rsid w:val="00B42CCF"/>
    <w:rsid w:val="00B54493"/>
    <w:rsid w:val="00B57E6C"/>
    <w:rsid w:val="00B6414F"/>
    <w:rsid w:val="00BA1C4D"/>
    <w:rsid w:val="00BB2A9F"/>
    <w:rsid w:val="00BB5815"/>
    <w:rsid w:val="00BB7EE8"/>
    <w:rsid w:val="00BD3068"/>
    <w:rsid w:val="00C174EC"/>
    <w:rsid w:val="00C626D7"/>
    <w:rsid w:val="00C727BA"/>
    <w:rsid w:val="00C92D8D"/>
    <w:rsid w:val="00CA6AE0"/>
    <w:rsid w:val="00CB1D9E"/>
    <w:rsid w:val="00CC377E"/>
    <w:rsid w:val="00D05257"/>
    <w:rsid w:val="00D47CEE"/>
    <w:rsid w:val="00D7366E"/>
    <w:rsid w:val="00D84C97"/>
    <w:rsid w:val="00DA722A"/>
    <w:rsid w:val="00DA78ED"/>
    <w:rsid w:val="00DB7568"/>
    <w:rsid w:val="00DD14E5"/>
    <w:rsid w:val="00E01C95"/>
    <w:rsid w:val="00E44534"/>
    <w:rsid w:val="00E60AE2"/>
    <w:rsid w:val="00EA3A76"/>
    <w:rsid w:val="00EB37DB"/>
    <w:rsid w:val="00ED0611"/>
    <w:rsid w:val="00F16FDE"/>
    <w:rsid w:val="00F40E48"/>
    <w:rsid w:val="00F6091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D18DD-2A32-42EF-8C3C-52972B2D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4"/>
    <w:rPr>
      <w:rFonts w:eastAsia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09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60914"/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14"/>
    <w:rPr>
      <w:rFonts w:eastAsia="Times New Roman" w:cs="Arial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142E35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42E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F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3FFE"/>
    <w:rPr>
      <w:rFonts w:ascii="Times New Roman" w:eastAsiaTheme="minorHAnsi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5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5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26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2289-18D8-48B6-B3C5-1CC33992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Bexley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Susan</dc:creator>
  <cp:lastModifiedBy>Chris.Sowerby</cp:lastModifiedBy>
  <cp:revision>2</cp:revision>
  <cp:lastPrinted>2017-07-21T16:01:00Z</cp:lastPrinted>
  <dcterms:created xsi:type="dcterms:W3CDTF">2017-08-24T09:48:00Z</dcterms:created>
  <dcterms:modified xsi:type="dcterms:W3CDTF">2017-08-24T09:48:00Z</dcterms:modified>
</cp:coreProperties>
</file>